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CEC1" w14:textId="77777777" w:rsidR="00D5242C" w:rsidRDefault="004D6DBD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:lang w:val="en-US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noProof/>
          <w:color w:val="7030A0"/>
          <w:sz w:val="24"/>
          <w:szCs w:val="24"/>
        </w:rPr>
        <w:drawing>
          <wp:inline distT="0" distB="0" distL="0" distR="0" wp14:anchorId="3E29FA09" wp14:editId="6EE99844">
            <wp:extent cx="1896294" cy="920750"/>
            <wp:effectExtent l="0" t="0" r="8890" b="0"/>
            <wp:docPr id="50819386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93866" name="Εικόνα 5081938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118" cy="9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BA7"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  <w:tab/>
      </w:r>
      <w:r w:rsidRPr="00E55BA7"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  <w:tab/>
      </w:r>
    </w:p>
    <w:p w14:paraId="4567A830" w14:textId="77777777" w:rsidR="00D5242C" w:rsidRDefault="00D5242C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:lang w:val="en-US"/>
          <w14:ligatures w14:val="none"/>
        </w:rPr>
      </w:pPr>
    </w:p>
    <w:p w14:paraId="3520E846" w14:textId="1315C65D" w:rsidR="004D6DBD" w:rsidRPr="00E55BA7" w:rsidRDefault="004D6DBD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  <w:t>ΠΑΡΟΥΣΙΑΣΗ ΔΡΑΣΕΩΝ Β.Ε.Α</w:t>
      </w:r>
    </w:p>
    <w:p w14:paraId="7F52BD02" w14:textId="77777777" w:rsidR="004D6DBD" w:rsidRPr="00E55BA7" w:rsidRDefault="004D6DBD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</w:pPr>
    </w:p>
    <w:p w14:paraId="303FE346" w14:textId="79D7D239" w:rsidR="004D6DBD" w:rsidRPr="00E55BA7" w:rsidRDefault="004D6DBD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  <w:t xml:space="preserve">ΠΑΡΕΜΒΑΣΕΙΣ - ΠΑΡΑΣΤΑΣΕΙΣ ΔΙΟΙΚΗΣΗΣ 2025 – 2026 </w:t>
      </w:r>
    </w:p>
    <w:p w14:paraId="1DFEB6F8" w14:textId="14064461" w:rsidR="004D6DBD" w:rsidRPr="00E55BA7" w:rsidRDefault="004D6DBD" w:rsidP="004D6DBD">
      <w:pPr>
        <w:spacing w:line="240" w:lineRule="auto"/>
        <w:contextualSpacing/>
        <w:rPr>
          <w:rFonts w:ascii="Bookman Old Style" w:eastAsia="Aptos" w:hAnsi="Bookman Old Style" w:cs="Times New Roman"/>
          <w:b/>
          <w:bCs/>
          <w:color w:val="7030A0"/>
          <w:sz w:val="24"/>
          <w:szCs w:val="24"/>
          <w14:ligatures w14:val="none"/>
        </w:rPr>
      </w:pPr>
    </w:p>
    <w:p w14:paraId="3A76BBE3" w14:textId="249FB167" w:rsidR="004D6DBD" w:rsidRPr="00E55BA7" w:rsidRDefault="004D6DBD" w:rsidP="007D249F">
      <w:pPr>
        <w:jc w:val="both"/>
        <w:rPr>
          <w:rFonts w:ascii="Bookman Old Style" w:eastAsia="Aptos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BF4E14"/>
          <w:sz w:val="24"/>
          <w:szCs w:val="24"/>
          <w14:ligatures w14:val="none"/>
        </w:rPr>
        <w:t>Ρύθμιση Οφειλών Επιχειρήσεων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>: Αίτημα - παρέμβαση για νέα ρύθμιση οφειλών</w:t>
      </w:r>
      <w:r w:rsidR="006270A5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 σε έως 120 δόσεις.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 </w:t>
      </w:r>
    </w:p>
    <w:p w14:paraId="7812D445" w14:textId="1D65737E" w:rsidR="004D6DBD" w:rsidRPr="00E55BA7" w:rsidRDefault="004D6DBD" w:rsidP="004D6DBD">
      <w:pPr>
        <w:jc w:val="both"/>
        <w:rPr>
          <w:rFonts w:ascii="Bookman Old Style" w:eastAsia="Aptos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BF4E14"/>
          <w:sz w:val="24"/>
          <w:szCs w:val="24"/>
          <w14:ligatures w14:val="none"/>
        </w:rPr>
        <w:t>ΠΕΣ Αττικής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: Τέθηκαν οι άξονες και οι προτάσεις για τα επιμελητηριακά θέματα των Επιμελητηρίων της Περιφέρειας. </w:t>
      </w:r>
    </w:p>
    <w:p w14:paraId="40F0CD06" w14:textId="291DC789" w:rsidR="004D6DBD" w:rsidRPr="00E55BA7" w:rsidRDefault="004D6DBD" w:rsidP="004D6DBD">
      <w:pPr>
        <w:jc w:val="both"/>
        <w:rPr>
          <w:rFonts w:ascii="Bookman Old Style" w:eastAsia="Aptos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0070C0"/>
          <w:sz w:val="24"/>
          <w:szCs w:val="24"/>
          <w14:ligatures w14:val="none"/>
        </w:rPr>
        <w:t>Παρέμβαση του ΒΕΑ, για την αύξηση του κατώτατου μισθού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 και τις επιπτώσεις στις εργοδότες - αίτημα για ανάλογα μέτρα ελάφρυνσης</w:t>
      </w:r>
      <w:r w:rsidR="006270A5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. </w:t>
      </w:r>
    </w:p>
    <w:p w14:paraId="2FBCF496" w14:textId="767CA15E" w:rsidR="004D6DBD" w:rsidRPr="00E55BA7" w:rsidRDefault="004D6DBD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Παράσταση Διοίκησης ΒΕΑ, στον Πρόεδρο της Δημοκρατίας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Παρουσιάστηκαν προτάσεις – πλαίσιο για την ανασυγκρότηση της παραγωγής και των μεταποιητικών επιχειρήσεων. </w:t>
      </w:r>
    </w:p>
    <w:p w14:paraId="7EFFECCA" w14:textId="77777777" w:rsidR="004D6DBD" w:rsidRPr="00E55BA7" w:rsidRDefault="004D6DBD" w:rsidP="008B45E0">
      <w:pPr>
        <w:jc w:val="both"/>
        <w:rPr>
          <w:rFonts w:ascii="Bookman Old Style" w:eastAsia="Aptos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0070C0"/>
          <w:sz w:val="24"/>
          <w:szCs w:val="24"/>
          <w14:ligatures w14:val="none"/>
        </w:rPr>
        <w:t>Παράσταση Προέδρου και Διοίκησης στον Πρόεδρο της Βουλής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, με αίτημα στήριξης των ΜμΕ και παρουσίαση προτάσεων υπέρ της υγιούς επιχειρηματικότητας. </w:t>
      </w:r>
    </w:p>
    <w:p w14:paraId="3B2BFA78" w14:textId="6E0828D0" w:rsidR="004D6DBD" w:rsidRPr="00E55BA7" w:rsidRDefault="004D6DBD" w:rsidP="004D6DBD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kern w:val="0"/>
          <w:sz w:val="24"/>
          <w:szCs w:val="24"/>
          <w14:ligatures w14:val="none"/>
        </w:rPr>
        <w:t>Παρέμβαση στο ζήτημα των ασφαλιστικών οφειλών</w:t>
      </w:r>
      <w:r w:rsidRPr="00E55BA7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 xml:space="preserve"> των επαγγελματιών. Αίτημα του ΒΕΑ, να μην περάσουν σε ιδιώτες οι ασφαλιστικές οφειλές και απόσυρση του άρθρου, </w:t>
      </w:r>
      <w:r w:rsidR="006270A5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>για π</w:t>
      </w:r>
      <w:r w:rsidRPr="00E55BA7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 xml:space="preserve">αραχώρηση της διαχείρισης ληξιπρόθεσμων ασφαλιστικών εισφορών προς τον e-ΕΦΚΑ σε ιδιωτικές εισπρακτικές εταιρείες. Επιστολή, προς την υπουργό Εργασίας και Κοινωνικής Ασφάλισης Νίκη Κεραμέως. </w:t>
      </w:r>
    </w:p>
    <w:p w14:paraId="21349574" w14:textId="77777777" w:rsidR="004D6DBD" w:rsidRPr="00E55BA7" w:rsidRDefault="004D6DBD" w:rsidP="004D6DBD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</w:p>
    <w:p w14:paraId="79563E08" w14:textId="7826346E" w:rsidR="004D6DBD" w:rsidRPr="00E55BA7" w:rsidRDefault="004D6DBD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Ψηφιακή Κάρτα Εργασίας</w:t>
      </w:r>
      <w:r w:rsidR="006270A5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. 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Αίτημα ΒΕΑ, για τη μείωση του διοικητικού βάρους των επιχειρήσεων - Ο Γεν. Γραμματέας Εργασιακών Σχέσεων Ν. Μηλαπίδης, στο ΔΣ του ΒΕΑ, σε ειδική εκδήλωση. </w:t>
      </w:r>
    </w:p>
    <w:p w14:paraId="7C96B043" w14:textId="3BFD60F1" w:rsidR="004D6DBD" w:rsidRPr="00E55BA7" w:rsidRDefault="004D6DBD" w:rsidP="004D6DBD">
      <w:pPr>
        <w:keepLines/>
        <w:spacing w:line="276" w:lineRule="auto"/>
        <w:jc w:val="both"/>
        <w:rPr>
          <w:rFonts w:ascii="Bookman Old Style" w:eastAsia="Times New Roman" w:hAnsi="Bookman Old Style" w:cs="Times New Roman"/>
          <w:noProof/>
          <w:spacing w:val="-2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Φάκελος εργατικού δυναμικού στις ΜμΕ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Πρόταση του ΒΕΑ, για την ένταξη μεταναστών στο εργατικό δυναμικό. Συνάντηση στο Υπ. Μεταναστευτικής Πολιτικής. </w:t>
      </w:r>
      <w:r w:rsidRPr="00E55BA7">
        <w:rPr>
          <w:rFonts w:ascii="Bookman Old Style" w:eastAsia="Times New Roman" w:hAnsi="Bookman Old Style" w:cs="Times New Roman"/>
          <w:b/>
          <w:bCs/>
          <w:noProof/>
          <w:kern w:val="0"/>
          <w:sz w:val="24"/>
          <w:szCs w:val="24"/>
          <w:lang w:eastAsia="el-GR"/>
          <w14:ligatures w14:val="none"/>
        </w:rPr>
        <w:t>ΠΙΛΟΤΙΚΟ ΣΧΕΔΙΟ ΠΡΟΓΡΑΜΜΑΤΟΣ</w:t>
      </w:r>
      <w:r w:rsidRPr="00E55BA7">
        <w:rPr>
          <w:rFonts w:ascii="Bookman Old Style" w:eastAsia="Times New Roman" w:hAnsi="Bookman Old Style" w:cs="Times New Roman"/>
          <w:noProof/>
          <w:spacing w:val="-2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BF5082E" w14:textId="77777777" w:rsidR="004D6DBD" w:rsidRPr="00E55BA7" w:rsidRDefault="004D6DBD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Φάκελος Ασφάλισης Επιχειρήσεων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Παρέμβαση του ΒΕΑ, για την επανεξέταση του πλαισίου ασφάλισης των επιχειρήσεων. Αίτημα για την παράταση προθεσμίας, στον Υπουργό Εθνικής Οικονομίας &amp; Οικονομικών. </w:t>
      </w:r>
    </w:p>
    <w:p w14:paraId="4247A0B5" w14:textId="77777777" w:rsidR="004D6DBD" w:rsidRPr="00E55BA7" w:rsidRDefault="004D6DBD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kern w:val="0"/>
          <w:sz w:val="24"/>
          <w:szCs w:val="24"/>
          <w14:ligatures w14:val="none"/>
        </w:rPr>
        <w:t>Τεχνικό προσωπικό και Επιχειρήσεις</w:t>
      </w:r>
      <w:r w:rsidRPr="00E55BA7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 xml:space="preserve">: Συνάντηση της Διοίκησης, με τον Διοικητή της Δ.ΥΠ.Α. Μνημόνιο συνεργασίας και ενεργό συμμετοχή του ΒΕΑ με επιχειρήσεις μέλη του, στις «Ημέρες Καριέρας». </w:t>
      </w:r>
    </w:p>
    <w:p w14:paraId="1CF6F2D2" w14:textId="38D7E882" w:rsidR="006270A5" w:rsidRDefault="004D6DBD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lastRenderedPageBreak/>
        <w:t>Ψηφιακό Πελατολόγιο και Συνεργεία Αυτοκινήτων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Το ΒΕΑ </w:t>
      </w:r>
      <w:r w:rsidR="004068F2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ζήτησε 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>“φρένο” στην εφαρμογή του Ψηφιακού Πελατολογίου. Παρέμβαση του ΒΕΑ, για την άμεση αναστολή της υποχρεωτικής εφαρμογής του Ψηφιακού Πελατολογίου για τα συνεργεία επισκευής οχημάτων</w:t>
      </w:r>
      <w:r w:rsidR="006270A5">
        <w:rPr>
          <w:rFonts w:ascii="Bookman Old Style" w:eastAsia="Calibri" w:hAnsi="Bookman Old Style" w:cs="Times New Roman"/>
          <w:sz w:val="24"/>
          <w:szCs w:val="24"/>
          <w14:ligatures w14:val="none"/>
        </w:rPr>
        <w:t>, λόγω ιδιαιτερότητας.</w:t>
      </w:r>
    </w:p>
    <w:p w14:paraId="30CB271C" w14:textId="4C8927E0" w:rsidR="004D6DBD" w:rsidRPr="00E55BA7" w:rsidRDefault="006270A5" w:rsidP="004D6DBD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ΔΕΘ: </w:t>
      </w:r>
      <w:r w:rsidR="004D6DBD"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Υποστήριξη με επιδότηση κόστους στο 100% 16 εκθετών – μελών ΒΕΑ με εκθεσιακό περίπτερο και δωρεάν προβολή τους από το Επιμελητήριο. </w:t>
      </w:r>
    </w:p>
    <w:p w14:paraId="7CA83489" w14:textId="44CB9697" w:rsidR="004D6DBD" w:rsidRPr="00E55BA7" w:rsidRDefault="004D6DBD" w:rsidP="004D6DBD">
      <w:pPr>
        <w:spacing w:line="256" w:lineRule="auto"/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Παρέμβαση για τις εξαγγελίες της Κυβέρνησης στη ΔΕΘ: Δηλώσεις για μέτρα: «Για ακόμη μια χρονιά η μικρομεσαία επιχειρηματικότητα εκτός κυβερνητικής ατζέντας </w:t>
      </w:r>
    </w:p>
    <w:p w14:paraId="513613DC" w14:textId="77777777" w:rsidR="004D6DBD" w:rsidRPr="00E55BA7" w:rsidRDefault="004D6DBD" w:rsidP="004D6DBD">
      <w:pPr>
        <w:spacing w:line="256" w:lineRule="auto"/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Φάκελος Ηλεκτροδότησης Επιχειρήσεων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 και προβλημάτων Δικτύου: «Διεξαγωγή έρευνας του ΒΕΑ: Το 59% των ηλεκτρολόγων και το 71% των επιχειρήσεων, βιώνουν προβλήματα ηλεκτροδότησης».</w:t>
      </w:r>
    </w:p>
    <w:p w14:paraId="22A4C713" w14:textId="77777777" w:rsidR="004D6DBD" w:rsidRPr="00E55BA7" w:rsidRDefault="004D6DBD" w:rsidP="004D6DBD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  <w:r w:rsidRPr="00E55BA7">
        <w:rPr>
          <w:rFonts w:ascii="Bookman Old Style" w:eastAsia="Aptos" w:hAnsi="Bookman Old Style" w:cs="Times New Roman"/>
          <w:b/>
          <w:bCs/>
          <w:color w:val="0070C0"/>
          <w:sz w:val="24"/>
          <w:szCs w:val="24"/>
          <w14:ligatures w14:val="none"/>
        </w:rPr>
        <w:t>Φάκελος Ηλεκτρική ενέργεια</w:t>
      </w:r>
      <w:r w:rsidRPr="00E55BA7">
        <w:rPr>
          <w:rFonts w:ascii="Bookman Old Style" w:eastAsia="Aptos" w:hAnsi="Bookman Old Style" w:cs="Times New Roman"/>
          <w:sz w:val="24"/>
          <w:szCs w:val="24"/>
          <w14:ligatures w14:val="none"/>
        </w:rPr>
        <w:t xml:space="preserve"> – κόστος επιχειρήσεων: Παρέμβαση για το νέο σχήμα της επιδότησης της ηλεκτρικής ενέργειας, που ανακοινώθηκε από το Υπουργείο Περιβάλλοντος και Ενέργειας. Βασικό αίτημα του ΒΕΑ: Η βιοτεχνία, η παραγωγική επιχείρηση, χρειάζεται μόνιμη, ενιαία και σταθερή ρύθμιση, για φθηνό ρεύμα.</w:t>
      </w:r>
    </w:p>
    <w:p w14:paraId="1BDF5097" w14:textId="77777777" w:rsidR="008B45E0" w:rsidRDefault="008B45E0" w:rsidP="008B45E0">
      <w:pPr>
        <w:jc w:val="both"/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</w:pPr>
    </w:p>
    <w:p w14:paraId="14979619" w14:textId="5B62F960" w:rsidR="004D6DBD" w:rsidRPr="00E55BA7" w:rsidRDefault="004D6DBD" w:rsidP="008B45E0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Φάκελος 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:lang w:val="en-US"/>
          <w14:ligatures w14:val="none"/>
        </w:rPr>
        <w:t>Nutri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-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:lang w:val="en-US"/>
          <w14:ligatures w14:val="none"/>
        </w:rPr>
        <w:t>Score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Συνάντηση Διοίκησης του ΒΕΑ, στο Υπ. Αγροτικής Ανάπτυξης για το θέμα της σήμανσης των συσκευασιών προϊόντων διατροφής </w:t>
      </w:r>
      <w:r w:rsidR="006270A5">
        <w:rPr>
          <w:rFonts w:ascii="Bookman Old Style" w:eastAsia="Calibri" w:hAnsi="Bookman Old Style" w:cs="Times New Roman"/>
          <w:sz w:val="24"/>
          <w:szCs w:val="24"/>
          <w14:ligatures w14:val="none"/>
        </w:rPr>
        <w:t>–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 </w:t>
      </w:r>
      <w:r w:rsidRPr="00E55BA7">
        <w:rPr>
          <w:rFonts w:ascii="Bookman Old Style" w:eastAsia="Calibri" w:hAnsi="Bookman Old Style" w:cs="Times New Roman"/>
          <w:sz w:val="24"/>
          <w:szCs w:val="24"/>
          <w:lang w:val="en-US"/>
          <w14:ligatures w14:val="none"/>
        </w:rPr>
        <w:t>NutriScore</w:t>
      </w:r>
      <w:r w:rsidR="006270A5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. </w:t>
      </w:r>
    </w:p>
    <w:p w14:paraId="16660624" w14:textId="287F4796" w:rsidR="004D6DBD" w:rsidRPr="00E55BA7" w:rsidRDefault="004D6DBD" w:rsidP="008B45E0">
      <w:pPr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Γενικό Εμπορικό Μητρώο (Γ.Ε.ΜΗ)</w:t>
      </w:r>
      <w:r w:rsidR="006270A5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 - πρόστιμα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: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 Μεγάλη ενημερωτική καμπάνια του ΒΕΑ, σε Μέλη, επιχειρήσεις Λογιστές και Δικηγόρους, για το Γ.Ε.ΜΗ</w:t>
      </w:r>
      <w:r w:rsidR="006270A5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 - </w:t>
      </w:r>
      <w:r w:rsidRPr="00E55BA7"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  <w:t>Εκδήλωση στο ΒΕΑ με συμμετοχή του Υπουργείου Ανάπτυξης.</w:t>
      </w:r>
    </w:p>
    <w:p w14:paraId="63064A60" w14:textId="171ACE1D" w:rsidR="004D6DBD" w:rsidRPr="00E55BA7" w:rsidRDefault="004D6DBD" w:rsidP="008B45E0">
      <w:pPr>
        <w:spacing w:line="256" w:lineRule="auto"/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>Διασφάλιση δικαιωμάτων μητέρων μη μισθωτών</w:t>
      </w:r>
      <w:r w:rsidR="00933FC0">
        <w:rPr>
          <w:rFonts w:ascii="Bookman Old Style" w:eastAsia="Calibri" w:hAnsi="Bookman Old Style" w:cs="Times New Roman"/>
          <w:sz w:val="24"/>
          <w:szCs w:val="24"/>
          <w14:ligatures w14:val="none"/>
        </w:rPr>
        <w:t>: Ά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μεση επίλυση ζητήματος με τη Δ.ΥΠ.Α – Με παρέμβαση του ΒΕΑ, επιτεύχθηκε η εξομοίωση μητέρων μη μισθωτών, ανεξαρτήτως της νομικής μορφής δραστηριότητας, για την Ειδική Παροχή Προστασίας Μητρότητας. </w:t>
      </w:r>
    </w:p>
    <w:p w14:paraId="036020AB" w14:textId="77777777" w:rsidR="004D6DBD" w:rsidRPr="00E55BA7" w:rsidRDefault="004D6DBD" w:rsidP="008B45E0">
      <w:pPr>
        <w:jc w:val="both"/>
        <w:rPr>
          <w:rFonts w:ascii="Bookman Old Style" w:eastAsia="Calibri" w:hAnsi="Bookman Old Style" w:cs="Times New Roman"/>
          <w:sz w:val="24"/>
          <w:szCs w:val="24"/>
          <w14:ligatures w14:val="none"/>
        </w:rPr>
      </w:pP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:lang w:val="en-US"/>
          <w14:ligatures w14:val="none"/>
        </w:rPr>
        <w:t>Open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 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:lang w:val="en-US"/>
          <w14:ligatures w14:val="none"/>
        </w:rPr>
        <w:t>Business</w:t>
      </w:r>
      <w:r w:rsidRPr="00E55BA7">
        <w:rPr>
          <w:rFonts w:ascii="Bookman Old Style" w:eastAsia="Calibri" w:hAnsi="Bookman Old Style" w:cs="Times New Roman"/>
          <w:b/>
          <w:bCs/>
          <w:color w:val="0070C0"/>
          <w:sz w:val="24"/>
          <w:szCs w:val="24"/>
          <w14:ligatures w14:val="none"/>
        </w:rPr>
        <w:t xml:space="preserve"> και Επιχειρήσεις</w:t>
      </w:r>
      <w:r w:rsidRPr="00E55BA7">
        <w:rPr>
          <w:rFonts w:ascii="Bookman Old Style" w:eastAsia="Calibri" w:hAnsi="Bookman Old Style" w:cs="Times New Roman"/>
          <w:sz w:val="24"/>
          <w:szCs w:val="24"/>
          <w14:ligatures w14:val="none"/>
        </w:rPr>
        <w:t xml:space="preserve">: Παρέμβαση του ΒΕΑ, με αιτήματα: </w:t>
      </w:r>
    </w:p>
    <w:p w14:paraId="19D1E0CB" w14:textId="77777777" w:rsidR="004D6DBD" w:rsidRPr="00E55BA7" w:rsidRDefault="004D6DBD" w:rsidP="008B45E0">
      <w:pPr>
        <w:spacing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-Ετήσια παράταση χωρίς επιβολή παραβόλου 200 ευρώ.</w:t>
      </w:r>
    </w:p>
    <w:p w14:paraId="23A986B7" w14:textId="77777777" w:rsidR="004D6DBD" w:rsidRPr="00E55BA7" w:rsidRDefault="004D6DBD" w:rsidP="008B45E0">
      <w:p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-Ενεργοποίηση καναλιών ενημέρωσης μέσω των Επιμελητηρίων.</w:t>
      </w:r>
    </w:p>
    <w:p w14:paraId="39A1F272" w14:textId="77777777" w:rsidR="004D6DBD" w:rsidRPr="00E55BA7" w:rsidRDefault="004D6DBD" w:rsidP="008B45E0">
      <w:p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-Ευρεία διαβούλευση Πολιτείας – Επιμελητηρίων για το αδειοδοτικό καθεστώς.</w:t>
      </w:r>
    </w:p>
    <w:p w14:paraId="14DEE2B2" w14:textId="77777777" w:rsidR="004D6DBD" w:rsidRPr="00E55BA7" w:rsidRDefault="004D6DBD" w:rsidP="008B45E0">
      <w:p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-Νομοθετικές προσαρμογές ώστε να λυθούν θεσμικά κενά και ασάφειες που αφορούν χιλιάδες υφιστάμενες δραστηριότητες.</w:t>
      </w:r>
    </w:p>
    <w:p w14:paraId="45AB93FD" w14:textId="77777777" w:rsidR="004D6DBD" w:rsidRPr="00E55BA7" w:rsidRDefault="004D6DBD" w:rsidP="008B45E0">
      <w:pPr>
        <w:spacing w:line="240" w:lineRule="auto"/>
        <w:contextualSpacing/>
        <w:jc w:val="both"/>
        <w:rPr>
          <w:rFonts w:ascii="Bookman Old Style" w:eastAsia="Aptos" w:hAnsi="Bookman Old Style" w:cs="Times New Roman"/>
          <w:b/>
          <w:bCs/>
          <w:sz w:val="24"/>
          <w:szCs w:val="24"/>
          <w14:ligatures w14:val="none"/>
        </w:rPr>
      </w:pPr>
    </w:p>
    <w:p w14:paraId="35294954" w14:textId="77777777" w:rsidR="006270A5" w:rsidRDefault="006270A5" w:rsidP="006270A5">
      <w:pPr>
        <w:jc w:val="both"/>
        <w:rPr>
          <w:rFonts w:ascii="Bookman Old Style" w:eastAsia="Times New Roman" w:hAnsi="Bookman Old Style" w:cs="Times New Roman"/>
          <w:b/>
          <w:bCs/>
          <w:color w:val="0070C0"/>
          <w:kern w:val="0"/>
          <w:sz w:val="24"/>
          <w:szCs w:val="24"/>
          <w:lang w:eastAsia="el-GR"/>
          <w14:ligatures w14:val="none"/>
        </w:rPr>
      </w:pPr>
    </w:p>
    <w:p w14:paraId="69FC8D95" w14:textId="77777777" w:rsidR="006270A5" w:rsidRDefault="006270A5" w:rsidP="006270A5">
      <w:pPr>
        <w:jc w:val="both"/>
        <w:rPr>
          <w:rFonts w:ascii="Bookman Old Style" w:eastAsia="Times New Roman" w:hAnsi="Bookman Old Style" w:cs="Times New Roman"/>
          <w:b/>
          <w:bCs/>
          <w:color w:val="0070C0"/>
          <w:kern w:val="0"/>
          <w:sz w:val="24"/>
          <w:szCs w:val="24"/>
          <w:lang w:eastAsia="el-GR"/>
          <w14:ligatures w14:val="none"/>
        </w:rPr>
      </w:pPr>
    </w:p>
    <w:p w14:paraId="1952CA7F" w14:textId="0BEEFA14" w:rsidR="006270A5" w:rsidRPr="006270A5" w:rsidRDefault="006270A5" w:rsidP="006270A5">
      <w:pPr>
        <w:jc w:val="both"/>
        <w:rPr>
          <w:rFonts w:ascii="Bookman Old Style" w:eastAsia="Times New Roman" w:hAnsi="Bookman Old Style" w:cs="Times New Roman"/>
          <w:b/>
          <w:bCs/>
          <w:color w:val="0070C0"/>
          <w:kern w:val="0"/>
          <w:sz w:val="24"/>
          <w:szCs w:val="24"/>
          <w:lang w:eastAsia="el-GR"/>
          <w14:ligatures w14:val="none"/>
        </w:rPr>
      </w:pPr>
      <w:r w:rsidRPr="006270A5">
        <w:rPr>
          <w:rFonts w:ascii="Bookman Old Style" w:eastAsia="Times New Roman" w:hAnsi="Bookman Old Style" w:cs="Times New Roman"/>
          <w:b/>
          <w:bCs/>
          <w:color w:val="0070C0"/>
          <w:kern w:val="0"/>
          <w:sz w:val="24"/>
          <w:szCs w:val="24"/>
          <w:lang w:eastAsia="el-GR"/>
          <w14:ligatures w14:val="none"/>
        </w:rPr>
        <w:lastRenderedPageBreak/>
        <w:t xml:space="preserve">Απλοποίηση των μεταποιητικών Δραστηριοτήτων: </w:t>
      </w:r>
    </w:p>
    <w:p w14:paraId="182F343E" w14:textId="77777777" w:rsidR="006270A5" w:rsidRPr="00E55BA7" w:rsidRDefault="006270A5" w:rsidP="006270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Κατάθεση προτάσεων στην </w:t>
      </w:r>
      <w:r w:rsidRPr="00E55BA7">
        <w:rPr>
          <w:rFonts w:ascii="Bookman Old Style" w:hAnsi="Bookman Old Style"/>
          <w:sz w:val="24"/>
          <w:szCs w:val="24"/>
        </w:rPr>
        <w:t>δημόσια διαβούλευση για το νομοσχέδιο του Υπουργείου Ανάπτυξης</w:t>
      </w:r>
      <w:r>
        <w:rPr>
          <w:rFonts w:ascii="Bookman Old Style" w:hAnsi="Bookman Old Style"/>
          <w:sz w:val="24"/>
          <w:szCs w:val="24"/>
        </w:rPr>
        <w:t xml:space="preserve">: </w:t>
      </w:r>
    </w:p>
    <w:p w14:paraId="65F3FAA6" w14:textId="77777777" w:rsidR="006270A5" w:rsidRPr="00E55BA7" w:rsidRDefault="006270A5" w:rsidP="006270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Η 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πρωτογενής συλλογή των στοιχείων του Δελτίου Επιχειρηματικής Δραστηριότητας να πραγματοποιείται σε επιμελητηριακό επίπεδο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, με τα δεδομένα να μεταφέρονται στη συνέχεια στο κεντρικό μητρώο της Γενικής Γραμματείας Βιομηχανίας. </w:t>
      </w:r>
    </w:p>
    <w:p w14:paraId="5BE3A11F" w14:textId="77777777" w:rsidR="006270A5" w:rsidRPr="00E55BA7" w:rsidRDefault="006270A5" w:rsidP="006270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Α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νάγκη δημιουργίας 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αυτόματης ηλεκτρονικής διασύνδεσης του ΔΕΔ με το ΓΕΜΗ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, ώστε να αποφεύγεται η πολλαπλή καταχώρ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ι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ση δεδομένων και να μειώνεται το διοικητικό κόστος για τις επιχειρήσεις.</w:t>
      </w:r>
    </w:p>
    <w:p w14:paraId="46A914E7" w14:textId="77777777" w:rsidR="006270A5" w:rsidRDefault="006270A5" w:rsidP="006270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Ελαχιστοποίηση οποιασδήποτε πρόσθετης γραφειοκρατικής επιβάρυνσης</w:t>
      </w: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χωρίς επαρκή ψηφιακή διασύνδεση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5F93B84F" w14:textId="77777777" w:rsidR="006270A5" w:rsidRPr="00E55BA7" w:rsidRDefault="006270A5" w:rsidP="006270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Ενεργή συμμετοχή Βιοτεχνικών Επιμελητηρίων στην διαμόρφωση της ΚΥΑ. </w:t>
      </w:r>
    </w:p>
    <w:p w14:paraId="676CFFD4" w14:textId="47A2A7FD" w:rsidR="00B66F77" w:rsidRPr="006270A5" w:rsidRDefault="00B66F77" w:rsidP="00B66F77">
      <w:pPr>
        <w:pStyle w:val="wp-block-paragraph"/>
        <w:rPr>
          <w:rStyle w:val="aa"/>
          <w:rFonts w:ascii="Bookman Old Style" w:hAnsi="Bookman Old Style"/>
          <w:color w:val="0070C0"/>
        </w:rPr>
      </w:pPr>
      <w:r w:rsidRPr="006270A5">
        <w:rPr>
          <w:rStyle w:val="aa"/>
          <w:rFonts w:ascii="Bookman Old Style" w:hAnsi="Bookman Old Style"/>
          <w:color w:val="0070C0"/>
        </w:rPr>
        <w:t>Στήριξη κλάδ</w:t>
      </w:r>
      <w:r w:rsidR="006270A5" w:rsidRPr="006270A5">
        <w:rPr>
          <w:rStyle w:val="aa"/>
          <w:rFonts w:ascii="Bookman Old Style" w:hAnsi="Bookman Old Style"/>
          <w:color w:val="0070C0"/>
        </w:rPr>
        <w:t>ων – παρεμβάσεις με Αιτήματα</w:t>
      </w:r>
    </w:p>
    <w:p w14:paraId="7F2CA8D8" w14:textId="13105BB3" w:rsidR="006270A5" w:rsidRPr="00E335DE" w:rsidRDefault="006270A5" w:rsidP="00B66F77">
      <w:pPr>
        <w:pStyle w:val="wp-block-paragraph"/>
        <w:rPr>
          <w:rStyle w:val="aa"/>
          <w:rFonts w:ascii="Bookman Old Style" w:hAnsi="Bookman Old Style"/>
          <w:color w:val="00B050"/>
        </w:rPr>
      </w:pPr>
      <w:r w:rsidRPr="00E335DE">
        <w:rPr>
          <w:rStyle w:val="aa"/>
          <w:rFonts w:ascii="Bookman Old Style" w:hAnsi="Bookman Old Style"/>
          <w:color w:val="00B050"/>
        </w:rPr>
        <w:t>Αρτοποιοί:</w:t>
      </w:r>
    </w:p>
    <w:p w14:paraId="59FCA60A" w14:textId="10CE3D71" w:rsidR="00B66F77" w:rsidRPr="00E55BA7" w:rsidRDefault="00B66F77" w:rsidP="008B45E0">
      <w:pPr>
        <w:pStyle w:val="wp-block-paragraph"/>
        <w:jc w:val="both"/>
        <w:rPr>
          <w:rFonts w:ascii="Bookman Old Style" w:hAnsi="Bookman Old Style"/>
        </w:rPr>
      </w:pPr>
      <w:r w:rsidRPr="00E55BA7">
        <w:rPr>
          <w:rStyle w:val="aa"/>
          <w:rFonts w:ascii="Bookman Old Style" w:hAnsi="Bookman Old Style"/>
        </w:rPr>
        <w:t>Μείωση του ενεργειακού κόστους</w:t>
      </w:r>
      <w:r w:rsidRPr="00E55BA7">
        <w:rPr>
          <w:rFonts w:ascii="Bookman Old Style" w:hAnsi="Bookman Old Style"/>
        </w:rPr>
        <w:t>, με καθιέρωση πλαφόν στις τιμές της ενέργειας και ειδικά τιμολόγια για τις ενεργοβόρες μικρές επιχειρήσεις, όπως τα αρτοποιεία.</w:t>
      </w:r>
    </w:p>
    <w:p w14:paraId="4C7AAF44" w14:textId="77777777" w:rsidR="00B66F77" w:rsidRPr="00E55BA7" w:rsidRDefault="00B66F77" w:rsidP="008B45E0">
      <w:pPr>
        <w:pStyle w:val="wp-block-paragraph"/>
        <w:jc w:val="both"/>
        <w:rPr>
          <w:rFonts w:ascii="Bookman Old Style" w:hAnsi="Bookman Old Style"/>
        </w:rPr>
      </w:pPr>
      <w:r w:rsidRPr="00E55BA7">
        <w:rPr>
          <w:rStyle w:val="aa"/>
          <w:rFonts w:ascii="Bookman Old Style" w:hAnsi="Bookman Old Style"/>
        </w:rPr>
        <w:t>•Φορολογικές ελαφρύνσεις</w:t>
      </w:r>
      <w:r w:rsidRPr="00E55BA7">
        <w:rPr>
          <w:rFonts w:ascii="Bookman Old Style" w:hAnsi="Bookman Old Style"/>
        </w:rPr>
        <w:t>, ιδίως για τις πολύ μικρές επιχειρήσεις,</w:t>
      </w:r>
    </w:p>
    <w:p w14:paraId="19A2A82F" w14:textId="77777777" w:rsidR="00B66F77" w:rsidRPr="00E55BA7" w:rsidRDefault="00B66F77" w:rsidP="008B45E0">
      <w:pPr>
        <w:pStyle w:val="wp-block-paragraph"/>
        <w:jc w:val="both"/>
        <w:rPr>
          <w:rFonts w:ascii="Bookman Old Style" w:hAnsi="Bookman Old Style"/>
        </w:rPr>
      </w:pPr>
      <w:r w:rsidRPr="00E55BA7">
        <w:rPr>
          <w:rStyle w:val="aa"/>
          <w:rFonts w:ascii="Bookman Old Style" w:hAnsi="Bookman Old Style"/>
        </w:rPr>
        <w:t>•Κατάργηση ή δραστική μείωση φόρων στην ενέργεια</w:t>
      </w:r>
    </w:p>
    <w:p w14:paraId="101ADCCF" w14:textId="77777777" w:rsidR="00B66F77" w:rsidRPr="00E55BA7" w:rsidRDefault="00B66F77" w:rsidP="008B45E0">
      <w:pPr>
        <w:pStyle w:val="wp-block-paragraph"/>
        <w:jc w:val="both"/>
        <w:rPr>
          <w:rFonts w:ascii="Bookman Old Style" w:hAnsi="Bookman Old Style"/>
        </w:rPr>
      </w:pPr>
      <w:r w:rsidRPr="00E55BA7">
        <w:rPr>
          <w:rStyle w:val="aa"/>
          <w:rFonts w:ascii="Bookman Old Style" w:hAnsi="Bookman Old Style"/>
        </w:rPr>
        <w:t>•Ρεαλιστικές ρυθμίσεις οφειλών προς το Δημόσιο και τα ασφαλιστικά ταμεία</w:t>
      </w:r>
      <w:r w:rsidRPr="00E55BA7">
        <w:rPr>
          <w:rFonts w:ascii="Bookman Old Style" w:hAnsi="Bookman Old Style"/>
        </w:rPr>
        <w:t>, με περισσότερες δόσεις και χαμηλότερα επιτόκια και</w:t>
      </w:r>
    </w:p>
    <w:p w14:paraId="71959A7B" w14:textId="77777777" w:rsidR="00B66F77" w:rsidRPr="00E55BA7" w:rsidRDefault="00B66F77" w:rsidP="008B45E0">
      <w:pPr>
        <w:pStyle w:val="wp-block-paragraph"/>
        <w:jc w:val="both"/>
        <w:rPr>
          <w:rFonts w:ascii="Bookman Old Style" w:hAnsi="Bookman Old Style"/>
        </w:rPr>
      </w:pPr>
      <w:r w:rsidRPr="00E55BA7">
        <w:rPr>
          <w:rStyle w:val="aa"/>
          <w:rFonts w:ascii="Bookman Old Style" w:hAnsi="Bookman Old Style"/>
        </w:rPr>
        <w:t>•Πρόσβαση σε χρηματοδότηση με βιώσιμους όρους.</w:t>
      </w:r>
    </w:p>
    <w:p w14:paraId="1F314ECF" w14:textId="02D532CA" w:rsidR="00B66F77" w:rsidRPr="00E55BA7" w:rsidRDefault="00B66F77" w:rsidP="008B45E0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E55BA7">
        <w:rPr>
          <w:rFonts w:ascii="Bookman Old Style" w:hAnsi="Bookman Old Style"/>
          <w:b/>
          <w:bCs/>
          <w:sz w:val="24"/>
          <w:szCs w:val="24"/>
        </w:rPr>
        <w:t xml:space="preserve">------------ </w:t>
      </w:r>
    </w:p>
    <w:p w14:paraId="45530157" w14:textId="75955D44" w:rsidR="00B66F77" w:rsidRPr="00E335DE" w:rsidRDefault="006270A5" w:rsidP="008B45E0">
      <w:pPr>
        <w:jc w:val="both"/>
        <w:rPr>
          <w:rFonts w:ascii="Bookman Old Style" w:hAnsi="Bookman Old Style"/>
          <w:b/>
          <w:bCs/>
          <w:color w:val="00B050"/>
          <w:sz w:val="24"/>
          <w:szCs w:val="24"/>
        </w:rPr>
      </w:pPr>
      <w:r w:rsidRPr="00E335DE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Συνεργεία- Αυτοκίνητα: </w:t>
      </w:r>
    </w:p>
    <w:p w14:paraId="7B1B8669" w14:textId="5414F40E" w:rsidR="00B66F77" w:rsidRPr="00E55BA7" w:rsidRDefault="00B66F77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</w:t>
      </w:r>
      <w:r w:rsidR="00E55BA7"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Ψ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ηφιακό πελατολόγιο</w:t>
      </w:r>
      <w:r w:rsid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</w:t>
      </w:r>
      <w:r w:rsidR="006270A5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Π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ροκλήσεις που δημιουργεί στην καθημερινή λειτουργία των επαγγελματιών. </w:t>
      </w:r>
    </w:p>
    <w:p w14:paraId="6A006FBD" w14:textId="3F65E3CB" w:rsidR="00B66F77" w:rsidRPr="00E55BA7" w:rsidRDefault="00B66F77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6270A5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 </w:t>
      </w:r>
      <w:r w:rsidR="006270A5" w:rsidRPr="006270A5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Έλλειψη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εξειδικευμένου προσωπικού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, η οποία αποτελεί ένα από τα σημαντικότερα προβλήματα του κλάδου και επηρεάζει άμεσα την ανάπτυξη και τη λειτουργία των επιχειρήσεων. </w:t>
      </w:r>
    </w:p>
    <w:p w14:paraId="2DCBA0C5" w14:textId="36B94203" w:rsidR="00B66F77" w:rsidRPr="00E55BA7" w:rsidRDefault="00B66F77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</w:t>
      </w:r>
      <w:r w:rsidR="006270A5" w:rsidRPr="006270A5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Δ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ιαμόρφωση στοχευμένων προγραμμάτων εκπαίδευσης και κατάρτισης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, με στόχο την ενίσχυση των δεξιοτήτων και την κάλυψη των κενών στην αγορά εργασίας. </w:t>
      </w:r>
    </w:p>
    <w:p w14:paraId="77E369C0" w14:textId="73F5614A" w:rsidR="00B66F77" w:rsidRPr="00E55BA7" w:rsidRDefault="00B66F77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lastRenderedPageBreak/>
        <w:t xml:space="preserve"> 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Open Business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, με αναφορά στις διαδικασίες αδειοδότησης και στις προκλήσεις που αντιμετωπίζουν οι επιχειρήσεις κατά τη χρήση της. </w:t>
      </w:r>
    </w:p>
    <w:p w14:paraId="7B44277B" w14:textId="2CA58710" w:rsidR="00B66F77" w:rsidRDefault="00B66F77" w:rsidP="008B45E0">
      <w:pP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</w:t>
      </w:r>
      <w:r w:rsidR="006270A5" w:rsidRPr="006270A5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Με</w:t>
      </w:r>
      <w:r w:rsidRPr="00E55BA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el-GR"/>
          <w14:ligatures w14:val="none"/>
        </w:rPr>
        <w:t>τάβαση στην ηλεκτροκίνηση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, η οποία δημιουργεί νέες απαιτήσεις σε τεχνογνωσία, εξοπλισμό και εκπαίδευση, μεταβάλλοντας συνολικά, το πλαίσιο λειτουργίας του κλάδου.</w:t>
      </w:r>
    </w:p>
    <w:p w14:paraId="68CF393E" w14:textId="627BD1FB" w:rsidR="004068F2" w:rsidRDefault="004068F2" w:rsidP="008B45E0">
      <w:pP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-Αίτημα στην Περιφέρεια για διαμόρφωση προγράμματος στήριξης για τον κλάδο.</w:t>
      </w:r>
    </w:p>
    <w:p w14:paraId="7EF8E0D7" w14:textId="36B2F5C1" w:rsidR="00B45CB5" w:rsidRPr="006270A5" w:rsidRDefault="00B45CB5" w:rsidP="00B66F77">
      <w:pPr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6270A5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--------------- </w:t>
      </w:r>
    </w:p>
    <w:p w14:paraId="05D1D4EA" w14:textId="52C7032C" w:rsidR="00B45CB5" w:rsidRPr="00E335DE" w:rsidRDefault="006270A5" w:rsidP="008B45E0">
      <w:pPr>
        <w:jc w:val="both"/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</w:pPr>
      <w:r w:rsidRPr="00E335DE"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  <w:t xml:space="preserve">Αλουμίνιο, Σίδηρος </w:t>
      </w:r>
    </w:p>
    <w:p w14:paraId="0E5D7C03" w14:textId="27780CDF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θεσμοθέτηση αδειοδότησης του επαγγέλματος, </w:t>
      </w:r>
    </w:p>
    <w:p w14:paraId="336B31AB" w14:textId="43929862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εφαρμογή των ευρωπαϊκών προτύπων και εντατικοποίηση των ελέγχων, </w:t>
      </w:r>
    </w:p>
    <w:p w14:paraId="325D37E7" w14:textId="3C470C65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αντιμετώπιση της διακίνησης μη πιστοποιημένων προϊόντων, </w:t>
      </w:r>
    </w:p>
    <w:p w14:paraId="3D365709" w14:textId="69ECCB7B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ενίσχυση της τεχνικής εκπαίδευσης, </w:t>
      </w:r>
    </w:p>
    <w:p w14:paraId="68B5BDFF" w14:textId="0CB348F3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χρηματοδότηση επαγγελματικών σχολών, </w:t>
      </w:r>
    </w:p>
    <w:p w14:paraId="29153DC9" w14:textId="778EEEB3" w:rsidR="00B45CB5" w:rsidRPr="00E55BA7" w:rsidRDefault="00B45CB5" w:rsidP="008B45E0">
      <w:pP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</w:t>
      </w:r>
      <w:r w:rsidR="0001028C" w:rsidRPr="0001028C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.</w:t>
      </w: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συμμετοχή των μικρομεσαίων στα προγράμματα «Εξοικονομώ».</w:t>
      </w:r>
    </w:p>
    <w:p w14:paraId="0E96CF71" w14:textId="74825812" w:rsidR="00B45CB5" w:rsidRPr="00E335DE" w:rsidRDefault="006270A5" w:rsidP="008B45E0">
      <w:pPr>
        <w:jc w:val="both"/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</w:pPr>
      <w:r w:rsidRPr="00E335DE"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  <w:t>Υαλοπίνακες</w:t>
      </w:r>
    </w:p>
    <w:p w14:paraId="6013F111" w14:textId="4C6ADF32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αδειοδότηση και ρύθμιση του επαγγέλματος, </w:t>
      </w:r>
    </w:p>
    <w:p w14:paraId="78140824" w14:textId="3B016BB6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εφαρμογή των κανονισμών ασφαλείας και των τεχνικών προδιαγραφών, </w:t>
      </w:r>
    </w:p>
    <w:p w14:paraId="33894DA8" w14:textId="408E0A32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αντιμετώπιση της διακίνησης μη σύννομων προϊόντων, </w:t>
      </w:r>
    </w:p>
    <w:p w14:paraId="3574F42F" w14:textId="2429FB47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ενίσχυση της ανακύκλωσης γυαλιού, </w:t>
      </w:r>
    </w:p>
    <w:p w14:paraId="62C873DB" w14:textId="7999A7D5" w:rsidR="00B45CB5" w:rsidRPr="00E55BA7" w:rsidRDefault="00B45CB5" w:rsidP="008B45E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οικονομική στήριξη των επιχειρήσεων μεταποίησης, </w:t>
      </w:r>
    </w:p>
    <w:p w14:paraId="1846210B" w14:textId="19A54977" w:rsidR="00B45CB5" w:rsidRDefault="00B45CB5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E55BA7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 </w:t>
      </w:r>
      <w:r w:rsidRPr="006270A5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>προγράμματα εκπαίδευσης και επιχειρηματικών σεμιναρίων.</w:t>
      </w:r>
    </w:p>
    <w:p w14:paraId="0F4FDB28" w14:textId="77777777" w:rsidR="006270A5" w:rsidRDefault="006270A5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u w:val="single"/>
          <w:lang w:eastAsia="el-GR"/>
          <w14:ligatures w14:val="none"/>
        </w:rPr>
      </w:pPr>
    </w:p>
    <w:p w14:paraId="15C8655C" w14:textId="01C76DF3" w:rsidR="006270A5" w:rsidRPr="00E335DE" w:rsidRDefault="006270A5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</w:pPr>
      <w:r w:rsidRPr="00E335DE">
        <w:rPr>
          <w:rFonts w:ascii="Bookman Old Style" w:eastAsia="Times New Roman" w:hAnsi="Bookman Old Style" w:cs="Times New Roman"/>
          <w:b/>
          <w:bCs/>
          <w:color w:val="00B050"/>
          <w:kern w:val="0"/>
          <w:sz w:val="24"/>
          <w:szCs w:val="24"/>
          <w:lang w:eastAsia="el-GR"/>
          <w14:ligatures w14:val="none"/>
        </w:rPr>
        <w:t>Χειροτεχνία – Υφαντική</w:t>
      </w:r>
    </w:p>
    <w:p w14:paraId="20558C77" w14:textId="2339E07D" w:rsidR="006270A5" w:rsidRDefault="004068F2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  <w:r w:rsidRPr="004068F2"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  <w:t xml:space="preserve">Υποβλήθηκε πρόταση για δημιουργία ξεχωριστών ΚΑΔ, για την Αδειοδότηση των χειροτεχνικών επαγγελμάτων. </w:t>
      </w:r>
    </w:p>
    <w:p w14:paraId="252010B9" w14:textId="77777777" w:rsidR="004068F2" w:rsidRDefault="004068F2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</w:p>
    <w:p w14:paraId="3C1CC8C3" w14:textId="77777777" w:rsidR="004068F2" w:rsidRDefault="004068F2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</w:p>
    <w:p w14:paraId="621D39BA" w14:textId="77777777" w:rsidR="004068F2" w:rsidRDefault="004068F2" w:rsidP="008B45E0">
      <w:pPr>
        <w:pBdr>
          <w:bottom w:val="single" w:sz="6" w:space="1" w:color="auto"/>
        </w:pBdr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el-GR"/>
          <w14:ligatures w14:val="none"/>
        </w:rPr>
      </w:pPr>
    </w:p>
    <w:sectPr w:rsidR="00406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0B06"/>
    <w:multiLevelType w:val="hybridMultilevel"/>
    <w:tmpl w:val="50DEDA8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573F"/>
    <w:multiLevelType w:val="multilevel"/>
    <w:tmpl w:val="89FC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287425">
    <w:abstractNumId w:val="1"/>
  </w:num>
  <w:num w:numId="2" w16cid:durableId="146199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BD"/>
    <w:rsid w:val="0001028C"/>
    <w:rsid w:val="001842CF"/>
    <w:rsid w:val="00361339"/>
    <w:rsid w:val="003F1893"/>
    <w:rsid w:val="004068F2"/>
    <w:rsid w:val="004D6DBD"/>
    <w:rsid w:val="005C276D"/>
    <w:rsid w:val="006270A5"/>
    <w:rsid w:val="007C6C1B"/>
    <w:rsid w:val="007D249F"/>
    <w:rsid w:val="008B4383"/>
    <w:rsid w:val="008B45E0"/>
    <w:rsid w:val="008F641B"/>
    <w:rsid w:val="00933FC0"/>
    <w:rsid w:val="009C5898"/>
    <w:rsid w:val="00B45CB5"/>
    <w:rsid w:val="00B50B42"/>
    <w:rsid w:val="00B66F77"/>
    <w:rsid w:val="00D5242C"/>
    <w:rsid w:val="00E335DE"/>
    <w:rsid w:val="00E55BA7"/>
    <w:rsid w:val="00E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7EA5"/>
  <w15:chartTrackingRefBased/>
  <w15:docId w15:val="{BCD3FB48-8662-42CD-99E3-C365E31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1B"/>
  </w:style>
  <w:style w:type="paragraph" w:styleId="1">
    <w:name w:val="heading 1"/>
    <w:basedOn w:val="a"/>
    <w:next w:val="a"/>
    <w:link w:val="1Char"/>
    <w:uiPriority w:val="9"/>
    <w:qFormat/>
    <w:rsid w:val="008F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6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6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F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F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F64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F64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F64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F64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F64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F6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F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F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8F641B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8F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8F641B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8F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8F641B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8F64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641B"/>
    <w:rPr>
      <w:b/>
      <w:bCs/>
      <w:smallCaps/>
      <w:color w:val="0F4761" w:themeColor="accent1" w:themeShade="BF"/>
      <w:spacing w:val="5"/>
    </w:rPr>
  </w:style>
  <w:style w:type="paragraph" w:customStyle="1" w:styleId="wp-block-paragraph">
    <w:name w:val="wp-block-paragraph"/>
    <w:basedOn w:val="a"/>
    <w:rsid w:val="00B6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B6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Πολυξένη Δημητρακάκη</dc:creator>
  <cp:keywords/>
  <dc:description/>
  <cp:lastModifiedBy>Ioannis S</cp:lastModifiedBy>
  <cp:revision>3</cp:revision>
  <dcterms:created xsi:type="dcterms:W3CDTF">2026-06-30T13:28:00Z</dcterms:created>
  <dcterms:modified xsi:type="dcterms:W3CDTF">2026-07-01T09:41:00Z</dcterms:modified>
</cp:coreProperties>
</file>