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299C4" w14:textId="51E590E9" w:rsidR="006D490B" w:rsidRPr="00EE57EE" w:rsidRDefault="00FF3D1E" w:rsidP="00171C44">
      <w:pPr>
        <w:rPr>
          <w:rFonts w:ascii="Times New Roman" w:hAnsi="Times New Roman" w:cs="Times New Roman"/>
          <w:b/>
          <w:bCs/>
          <w:sz w:val="24"/>
          <w:szCs w:val="24"/>
        </w:rPr>
      </w:pPr>
      <w:r>
        <w:rPr>
          <w:noProof/>
        </w:rPr>
        <w:drawing>
          <wp:inline distT="0" distB="0" distL="0" distR="0" wp14:anchorId="755D75AE" wp14:editId="57BB8CB1">
            <wp:extent cx="5274310" cy="1722120"/>
            <wp:effectExtent l="0" t="0" r="0" b="0"/>
            <wp:docPr id="14881659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7647" b="18026"/>
                    <a:stretch/>
                  </pic:blipFill>
                  <pic:spPr bwMode="auto">
                    <a:xfrm>
                      <a:off x="0" y="0"/>
                      <a:ext cx="5274310" cy="1722120"/>
                    </a:xfrm>
                    <a:prstGeom prst="rect">
                      <a:avLst/>
                    </a:prstGeom>
                    <a:noFill/>
                    <a:ln>
                      <a:noFill/>
                    </a:ln>
                    <a:extLst>
                      <a:ext uri="{53640926-AAD7-44D8-BBD7-CCE9431645EC}">
                        <a14:shadowObscured xmlns:a14="http://schemas.microsoft.com/office/drawing/2010/main"/>
                      </a:ext>
                    </a:extLst>
                  </pic:spPr>
                </pic:pic>
              </a:graphicData>
            </a:graphic>
          </wp:inline>
        </w:drawing>
      </w:r>
    </w:p>
    <w:p w14:paraId="0D01AB0E" w14:textId="1C7D359B" w:rsidR="006D490B" w:rsidRPr="00EE57EE" w:rsidRDefault="006D490B" w:rsidP="00171C44">
      <w:pPr>
        <w:rPr>
          <w:rFonts w:ascii="Times New Roman" w:hAnsi="Times New Roman" w:cs="Times New Roman"/>
          <w:b/>
          <w:bCs/>
          <w:sz w:val="24"/>
          <w:szCs w:val="24"/>
        </w:rPr>
      </w:pP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lang w:val="en-US"/>
        </w:rPr>
        <w:tab/>
      </w:r>
      <w:r w:rsidRPr="00EE57EE">
        <w:rPr>
          <w:rFonts w:ascii="Times New Roman" w:hAnsi="Times New Roman" w:cs="Times New Roman"/>
          <w:b/>
          <w:bCs/>
          <w:sz w:val="24"/>
          <w:szCs w:val="24"/>
        </w:rPr>
        <w:t xml:space="preserve">Αθήνα </w:t>
      </w:r>
      <w:r w:rsidR="000F234F" w:rsidRPr="00FF3D1E">
        <w:rPr>
          <w:rFonts w:ascii="Times New Roman" w:hAnsi="Times New Roman" w:cs="Times New Roman"/>
          <w:b/>
          <w:bCs/>
          <w:sz w:val="24"/>
          <w:szCs w:val="24"/>
        </w:rPr>
        <w:t>03-12</w:t>
      </w:r>
      <w:r w:rsidRPr="00EE57EE">
        <w:rPr>
          <w:rFonts w:ascii="Times New Roman" w:hAnsi="Times New Roman" w:cs="Times New Roman"/>
          <w:b/>
          <w:bCs/>
          <w:sz w:val="24"/>
          <w:szCs w:val="24"/>
        </w:rPr>
        <w:t>-2025</w:t>
      </w:r>
    </w:p>
    <w:p w14:paraId="140BEA11" w14:textId="77777777" w:rsidR="00171C44" w:rsidRPr="00EE57EE" w:rsidRDefault="006D490B" w:rsidP="006D490B">
      <w:pPr>
        <w:ind w:left="2160" w:firstLine="720"/>
        <w:rPr>
          <w:rFonts w:ascii="Times New Roman" w:hAnsi="Times New Roman" w:cs="Times New Roman"/>
          <w:b/>
          <w:bCs/>
          <w:sz w:val="24"/>
          <w:szCs w:val="24"/>
        </w:rPr>
      </w:pPr>
      <w:r w:rsidRPr="00EE57EE">
        <w:rPr>
          <w:rFonts w:ascii="Times New Roman" w:hAnsi="Times New Roman" w:cs="Times New Roman"/>
          <w:b/>
          <w:bCs/>
          <w:sz w:val="24"/>
          <w:szCs w:val="24"/>
        </w:rPr>
        <w:t xml:space="preserve">ΔΕΛΤΙΟ ΤΥΠΟΥ </w:t>
      </w:r>
    </w:p>
    <w:p w14:paraId="281F4793" w14:textId="77777777" w:rsidR="000F234F" w:rsidRPr="00FF3D1E" w:rsidRDefault="000F234F" w:rsidP="00751444">
      <w:pPr>
        <w:rPr>
          <w:rFonts w:ascii="Times New Roman" w:hAnsi="Times New Roman" w:cs="Times New Roman"/>
          <w:b/>
          <w:bCs/>
          <w:sz w:val="24"/>
          <w:szCs w:val="24"/>
          <w14:ligatures w14:val="none"/>
        </w:rPr>
      </w:pPr>
    </w:p>
    <w:p w14:paraId="53098B1F" w14:textId="77777777" w:rsidR="000F234F" w:rsidRPr="000F234F" w:rsidRDefault="000F234F" w:rsidP="000F234F">
      <w:pPr>
        <w:jc w:val="center"/>
        <w:rPr>
          <w:rFonts w:ascii="Calibri" w:eastAsia="Calibri" w:hAnsi="Calibri" w:cs="Times New Roman"/>
          <w:b/>
          <w:bCs/>
        </w:rPr>
      </w:pPr>
      <w:r w:rsidRPr="000F234F">
        <w:rPr>
          <w:rFonts w:ascii="Calibri" w:eastAsia="Calibri" w:hAnsi="Calibri" w:cs="Times New Roman"/>
          <w:b/>
          <w:bCs/>
        </w:rPr>
        <w:t>Το Βιοτεχνικό Επιμελητήριο Αθήνας (</w:t>
      </w:r>
      <w:r w:rsidRPr="000F234F">
        <w:rPr>
          <w:rFonts w:ascii="Calibri" w:eastAsia="Calibri" w:hAnsi="Calibri" w:cs="Times New Roman"/>
          <w:b/>
          <w:bCs/>
          <w:lang w:val="en-US"/>
        </w:rPr>
        <w:t>B</w:t>
      </w:r>
      <w:r w:rsidRPr="000F234F">
        <w:rPr>
          <w:rFonts w:ascii="Calibri" w:eastAsia="Calibri" w:hAnsi="Calibri" w:cs="Times New Roman"/>
          <w:b/>
          <w:bCs/>
        </w:rPr>
        <w:t>.</w:t>
      </w:r>
      <w:r w:rsidRPr="000F234F">
        <w:rPr>
          <w:rFonts w:ascii="Calibri" w:eastAsia="Calibri" w:hAnsi="Calibri" w:cs="Times New Roman"/>
          <w:b/>
          <w:bCs/>
          <w:lang w:val="en-US"/>
        </w:rPr>
        <w:t>E</w:t>
      </w:r>
      <w:r w:rsidRPr="000F234F">
        <w:rPr>
          <w:rFonts w:ascii="Calibri" w:eastAsia="Calibri" w:hAnsi="Calibri" w:cs="Times New Roman"/>
          <w:b/>
          <w:bCs/>
        </w:rPr>
        <w:t>.</w:t>
      </w:r>
      <w:r w:rsidRPr="000F234F">
        <w:rPr>
          <w:rFonts w:ascii="Calibri" w:eastAsia="Calibri" w:hAnsi="Calibri" w:cs="Times New Roman"/>
          <w:b/>
          <w:bCs/>
          <w:lang w:val="en-US"/>
        </w:rPr>
        <w:t>A</w:t>
      </w:r>
      <w:r w:rsidRPr="000F234F">
        <w:rPr>
          <w:rFonts w:ascii="Calibri" w:eastAsia="Calibri" w:hAnsi="Calibri" w:cs="Times New Roman"/>
          <w:b/>
          <w:bCs/>
        </w:rPr>
        <w:t>.), με τεκμηριωμένη γνωμοδότηση,</w:t>
      </w:r>
    </w:p>
    <w:p w14:paraId="302B115C" w14:textId="77777777" w:rsidR="000F234F" w:rsidRPr="000F234F" w:rsidRDefault="000F234F" w:rsidP="000F234F">
      <w:pPr>
        <w:jc w:val="center"/>
        <w:rPr>
          <w:rFonts w:ascii="Calibri" w:eastAsia="Calibri" w:hAnsi="Calibri" w:cs="Times New Roman"/>
          <w:b/>
          <w:bCs/>
        </w:rPr>
      </w:pPr>
      <w:r w:rsidRPr="000F234F">
        <w:rPr>
          <w:rFonts w:ascii="Calibri" w:eastAsia="Calibri" w:hAnsi="Calibri" w:cs="Times New Roman"/>
          <w:b/>
          <w:bCs/>
        </w:rPr>
        <w:t>πέτυχε την παράταση για την εγγραφή και ανάρτηση δικαιολογητικών</w:t>
      </w:r>
    </w:p>
    <w:p w14:paraId="7F45BBE0" w14:textId="77777777" w:rsidR="000F234F" w:rsidRPr="000F234F" w:rsidRDefault="000F234F" w:rsidP="000F234F">
      <w:pPr>
        <w:jc w:val="center"/>
        <w:rPr>
          <w:rFonts w:ascii="Calibri" w:eastAsia="Calibri" w:hAnsi="Calibri" w:cs="Times New Roman"/>
          <w:b/>
          <w:bCs/>
        </w:rPr>
      </w:pPr>
      <w:r w:rsidRPr="000F234F">
        <w:rPr>
          <w:rFonts w:ascii="Calibri" w:eastAsia="Calibri" w:hAnsi="Calibri" w:cs="Times New Roman"/>
          <w:b/>
          <w:bCs/>
        </w:rPr>
        <w:t xml:space="preserve">στην πλατφόρμα </w:t>
      </w:r>
      <w:proofErr w:type="spellStart"/>
      <w:r w:rsidRPr="000F234F">
        <w:rPr>
          <w:rFonts w:ascii="Calibri" w:eastAsia="Calibri" w:hAnsi="Calibri" w:cs="Times New Roman"/>
          <w:b/>
          <w:bCs/>
        </w:rPr>
        <w:t>Open</w:t>
      </w:r>
      <w:proofErr w:type="spellEnd"/>
      <w:r w:rsidRPr="000F234F">
        <w:rPr>
          <w:rFonts w:ascii="Calibri" w:eastAsia="Calibri" w:hAnsi="Calibri" w:cs="Times New Roman"/>
          <w:b/>
          <w:bCs/>
        </w:rPr>
        <w:t xml:space="preserve"> </w:t>
      </w:r>
      <w:proofErr w:type="spellStart"/>
      <w:r w:rsidRPr="000F234F">
        <w:rPr>
          <w:rFonts w:ascii="Calibri" w:eastAsia="Calibri" w:hAnsi="Calibri" w:cs="Times New Roman"/>
          <w:b/>
          <w:bCs/>
        </w:rPr>
        <w:t>Business</w:t>
      </w:r>
      <w:proofErr w:type="spellEnd"/>
    </w:p>
    <w:p w14:paraId="31458F31" w14:textId="77777777" w:rsidR="000F234F" w:rsidRPr="000F234F" w:rsidRDefault="000F234F" w:rsidP="000F234F">
      <w:pPr>
        <w:rPr>
          <w:rFonts w:ascii="Calibri" w:eastAsia="Calibri" w:hAnsi="Calibri" w:cs="Times New Roman"/>
        </w:rPr>
      </w:pPr>
      <w:r w:rsidRPr="000F234F">
        <w:rPr>
          <w:rFonts w:ascii="Calibri" w:eastAsia="Calibri" w:hAnsi="Calibri" w:cs="Times New Roman"/>
        </w:rPr>
        <w:t> </w:t>
      </w:r>
    </w:p>
    <w:p w14:paraId="5493065E"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Το </w:t>
      </w:r>
      <w:r w:rsidRPr="000F234F">
        <w:rPr>
          <w:rFonts w:ascii="Calibri" w:eastAsia="Calibri" w:hAnsi="Calibri" w:cs="Times New Roman"/>
          <w:b/>
          <w:bCs/>
        </w:rPr>
        <w:t>Βιοτεχνικό Επιμελητήριο Αθήνας</w:t>
      </w:r>
      <w:r w:rsidRPr="000F234F">
        <w:rPr>
          <w:rFonts w:ascii="Calibri" w:eastAsia="Calibri" w:hAnsi="Calibri" w:cs="Times New Roman"/>
        </w:rPr>
        <w:t xml:space="preserve"> </w:t>
      </w:r>
      <w:r w:rsidRPr="000F234F">
        <w:rPr>
          <w:rFonts w:ascii="Calibri" w:eastAsia="Calibri" w:hAnsi="Calibri" w:cs="Times New Roman"/>
          <w:b/>
          <w:bCs/>
        </w:rPr>
        <w:t>(</w:t>
      </w:r>
      <w:r w:rsidRPr="000F234F">
        <w:rPr>
          <w:rFonts w:ascii="Calibri" w:eastAsia="Calibri" w:hAnsi="Calibri" w:cs="Times New Roman"/>
          <w:b/>
          <w:bCs/>
          <w:lang w:val="en-US"/>
        </w:rPr>
        <w:t>B</w:t>
      </w:r>
      <w:r w:rsidRPr="000F234F">
        <w:rPr>
          <w:rFonts w:ascii="Calibri" w:eastAsia="Calibri" w:hAnsi="Calibri" w:cs="Times New Roman"/>
          <w:b/>
          <w:bCs/>
        </w:rPr>
        <w:t>.</w:t>
      </w:r>
      <w:r w:rsidRPr="000F234F">
        <w:rPr>
          <w:rFonts w:ascii="Calibri" w:eastAsia="Calibri" w:hAnsi="Calibri" w:cs="Times New Roman"/>
          <w:b/>
          <w:bCs/>
          <w:lang w:val="en-US"/>
        </w:rPr>
        <w:t>E</w:t>
      </w:r>
      <w:r w:rsidRPr="000F234F">
        <w:rPr>
          <w:rFonts w:ascii="Calibri" w:eastAsia="Calibri" w:hAnsi="Calibri" w:cs="Times New Roman"/>
          <w:b/>
          <w:bCs/>
        </w:rPr>
        <w:t>.</w:t>
      </w:r>
      <w:r w:rsidRPr="000F234F">
        <w:rPr>
          <w:rFonts w:ascii="Calibri" w:eastAsia="Calibri" w:hAnsi="Calibri" w:cs="Times New Roman"/>
          <w:b/>
          <w:bCs/>
          <w:lang w:val="en-US"/>
        </w:rPr>
        <w:t>A</w:t>
      </w:r>
      <w:r w:rsidRPr="000F234F">
        <w:rPr>
          <w:rFonts w:ascii="Calibri" w:eastAsia="Calibri" w:hAnsi="Calibri" w:cs="Times New Roman"/>
          <w:b/>
          <w:bCs/>
        </w:rPr>
        <w:t>.)</w:t>
      </w:r>
      <w:r w:rsidRPr="000F234F">
        <w:rPr>
          <w:rFonts w:ascii="Calibri" w:eastAsia="Calibri" w:hAnsi="Calibri" w:cs="Times New Roman"/>
        </w:rPr>
        <w:t xml:space="preserve">, στην προσπάθειά του να διευκολύνει τις επιχειρήσεις, πέτυχε την παράταση, </w:t>
      </w:r>
      <w:r w:rsidRPr="000F234F">
        <w:rPr>
          <w:rFonts w:ascii="Calibri" w:eastAsia="Calibri" w:hAnsi="Calibri" w:cs="Times New Roman"/>
          <w:b/>
          <w:bCs/>
          <w:u w:val="single"/>
        </w:rPr>
        <w:t>έως τις 31 Δεκεμβρίου 2026</w:t>
      </w:r>
      <w:r w:rsidRPr="000F234F">
        <w:rPr>
          <w:rFonts w:ascii="Calibri" w:eastAsia="Calibri" w:hAnsi="Calibri" w:cs="Times New Roman"/>
        </w:rPr>
        <w:t>, χωρίς την επιβολή παραβόλου 200 ευρώ, της διαδικασίας ανάρτησης και απογραφής υφισταμένων δραστηριοτήτων και των δικαιολογητικών γνωστοποίησης, δημοσιότητας και ρυθμίσεως ζητημάτων προστασίας προσωπικών δεδομένων, </w:t>
      </w:r>
      <w:r w:rsidRPr="000F234F">
        <w:rPr>
          <w:rFonts w:ascii="Calibri" w:eastAsia="Calibri" w:hAnsi="Calibri" w:cs="Times New Roman"/>
          <w:b/>
          <w:bCs/>
        </w:rPr>
        <w:t xml:space="preserve">στο πληροφοριακό σύστημα </w:t>
      </w:r>
      <w:proofErr w:type="spellStart"/>
      <w:r w:rsidRPr="000F234F">
        <w:rPr>
          <w:rFonts w:ascii="Calibri" w:eastAsia="Calibri" w:hAnsi="Calibri" w:cs="Times New Roman"/>
          <w:b/>
          <w:bCs/>
        </w:rPr>
        <w:t>Open</w:t>
      </w:r>
      <w:proofErr w:type="spellEnd"/>
      <w:r w:rsidRPr="000F234F">
        <w:rPr>
          <w:rFonts w:ascii="Calibri" w:eastAsia="Calibri" w:hAnsi="Calibri" w:cs="Times New Roman"/>
          <w:b/>
          <w:bCs/>
        </w:rPr>
        <w:t xml:space="preserve"> </w:t>
      </w:r>
      <w:proofErr w:type="spellStart"/>
      <w:r w:rsidRPr="000F234F">
        <w:rPr>
          <w:rFonts w:ascii="Calibri" w:eastAsia="Calibri" w:hAnsi="Calibri" w:cs="Times New Roman"/>
          <w:b/>
          <w:bCs/>
        </w:rPr>
        <w:t>Business</w:t>
      </w:r>
      <w:proofErr w:type="spellEnd"/>
      <w:r w:rsidRPr="000F234F">
        <w:rPr>
          <w:rFonts w:ascii="Calibri" w:eastAsia="Calibri" w:hAnsi="Calibri" w:cs="Times New Roman"/>
          <w:b/>
          <w:bCs/>
        </w:rPr>
        <w:t>.</w:t>
      </w:r>
    </w:p>
    <w:p w14:paraId="27682D80"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Η χορήγηση της παράτασης, ικανοποιεί πλήρως το βασικό αίτημα του Επιμελητηρίου και δημιουργεί έναν ρεαλιστικό χρόνο προσαρμογής για τη μεγάλη πλειονότητα των επιχειρήσεων, οι οποίες καλούνται να ολοκληρώσουν ορθά και χωρίς διοικητικά πρόστιμα την υποχρεωτική διαδικασία στο </w:t>
      </w:r>
      <w:proofErr w:type="spellStart"/>
      <w:r w:rsidRPr="000F234F">
        <w:rPr>
          <w:rFonts w:ascii="Calibri" w:eastAsia="Calibri" w:hAnsi="Calibri" w:cs="Times New Roman"/>
        </w:rPr>
        <w:t>OpenBusiness</w:t>
      </w:r>
      <w:proofErr w:type="spellEnd"/>
      <w:r w:rsidRPr="000F234F">
        <w:rPr>
          <w:rFonts w:ascii="Calibri" w:eastAsia="Calibri" w:hAnsi="Calibri" w:cs="Times New Roman"/>
        </w:rPr>
        <w:t>.</w:t>
      </w:r>
    </w:p>
    <w:p w14:paraId="62A649CF"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Συγκεκριμένα, από τις αρχές του φθινοπώρου, το </w:t>
      </w:r>
      <w:r w:rsidRPr="000F234F">
        <w:rPr>
          <w:rFonts w:ascii="Calibri" w:eastAsia="Calibri" w:hAnsi="Calibri" w:cs="Times New Roman"/>
          <w:b/>
          <w:bCs/>
          <w:lang w:val="en-US"/>
        </w:rPr>
        <w:t>B</w:t>
      </w:r>
      <w:r w:rsidRPr="000F234F">
        <w:rPr>
          <w:rFonts w:ascii="Calibri" w:eastAsia="Calibri" w:hAnsi="Calibri" w:cs="Times New Roman"/>
          <w:b/>
          <w:bCs/>
        </w:rPr>
        <w:t>.</w:t>
      </w:r>
      <w:r w:rsidRPr="000F234F">
        <w:rPr>
          <w:rFonts w:ascii="Calibri" w:eastAsia="Calibri" w:hAnsi="Calibri" w:cs="Times New Roman"/>
          <w:b/>
          <w:bCs/>
          <w:lang w:val="en-US"/>
        </w:rPr>
        <w:t>E</w:t>
      </w:r>
      <w:r w:rsidRPr="000F234F">
        <w:rPr>
          <w:rFonts w:ascii="Calibri" w:eastAsia="Calibri" w:hAnsi="Calibri" w:cs="Times New Roman"/>
          <w:b/>
          <w:bCs/>
        </w:rPr>
        <w:t>.</w:t>
      </w:r>
      <w:r w:rsidRPr="000F234F">
        <w:rPr>
          <w:rFonts w:ascii="Calibri" w:eastAsia="Calibri" w:hAnsi="Calibri" w:cs="Times New Roman"/>
          <w:b/>
          <w:bCs/>
          <w:lang w:val="en-US"/>
        </w:rPr>
        <w:t>A</w:t>
      </w:r>
      <w:r w:rsidRPr="000F234F">
        <w:rPr>
          <w:rFonts w:ascii="Calibri" w:eastAsia="Calibri" w:hAnsi="Calibri" w:cs="Times New Roman"/>
          <w:b/>
          <w:bCs/>
        </w:rPr>
        <w:t xml:space="preserve">. </w:t>
      </w:r>
      <w:r w:rsidRPr="000F234F">
        <w:rPr>
          <w:rFonts w:ascii="Calibri" w:eastAsia="Calibri" w:hAnsi="Calibri" w:cs="Times New Roman"/>
        </w:rPr>
        <w:t xml:space="preserve">ενημέρωνε τα μέλη του για τις υποχρεώσεις που δημιουργεί η λειτουργία του </w:t>
      </w:r>
      <w:proofErr w:type="spellStart"/>
      <w:r w:rsidRPr="000F234F">
        <w:rPr>
          <w:rFonts w:ascii="Calibri" w:eastAsia="Calibri" w:hAnsi="Calibri" w:cs="Times New Roman"/>
        </w:rPr>
        <w:t>OpenBusiness</w:t>
      </w:r>
      <w:proofErr w:type="spellEnd"/>
      <w:r w:rsidRPr="000F234F">
        <w:rPr>
          <w:rFonts w:ascii="Calibri" w:eastAsia="Calibri" w:hAnsi="Calibri" w:cs="Times New Roman"/>
        </w:rPr>
        <w:t xml:space="preserve"> – τόσο για την ψηφιακή απογραφή, όσο και για την ανάρτηση των απαιτούμενων δικαιολογητικών. </w:t>
      </w:r>
    </w:p>
    <w:p w14:paraId="206A80E3"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Παράλληλα, με την αναλυτική </w:t>
      </w:r>
      <w:r w:rsidRPr="000F234F">
        <w:rPr>
          <w:rFonts w:ascii="Calibri" w:eastAsia="Calibri" w:hAnsi="Calibri" w:cs="Times New Roman"/>
          <w:b/>
          <w:bCs/>
        </w:rPr>
        <w:t>επιστολή</w:t>
      </w:r>
      <w:r w:rsidRPr="000F234F">
        <w:rPr>
          <w:rFonts w:ascii="Calibri" w:eastAsia="Calibri" w:hAnsi="Calibri" w:cs="Times New Roman"/>
        </w:rPr>
        <w:t xml:space="preserve"> που απέστειλε σε συναρμόδιους φορείς και Υπουργεία, το Β.Ε.Α. περιέγραφε με σαφήνεια τους λόγους για τους οποίους η επιχειρηματική κοινότητα αδυνατούσε να ανταποκριθεί εντός των προβλεπόμενων χρονικών ορίων. Μεταξύ αυτών επισημαίνεται :</w:t>
      </w:r>
    </w:p>
    <w:p w14:paraId="30DF5384" w14:textId="77777777" w:rsidR="000F234F" w:rsidRPr="000F234F" w:rsidRDefault="000F234F" w:rsidP="000F234F">
      <w:pPr>
        <w:numPr>
          <w:ilvl w:val="0"/>
          <w:numId w:val="7"/>
        </w:numPr>
        <w:contextualSpacing/>
        <w:jc w:val="both"/>
        <w:rPr>
          <w:rFonts w:ascii="Calibri" w:eastAsia="Calibri" w:hAnsi="Calibri" w:cs="Times New Roman"/>
        </w:rPr>
      </w:pPr>
      <w:r w:rsidRPr="000F234F">
        <w:rPr>
          <w:rFonts w:ascii="Calibri" w:eastAsia="Calibri" w:hAnsi="Calibri" w:cs="Times New Roman"/>
        </w:rPr>
        <w:t xml:space="preserve">Η </w:t>
      </w:r>
      <w:r w:rsidRPr="000F234F">
        <w:rPr>
          <w:rFonts w:ascii="Calibri" w:eastAsia="Calibri" w:hAnsi="Calibri" w:cs="Times New Roman"/>
          <w:b/>
          <w:bCs/>
        </w:rPr>
        <w:t>ελλιπής ενημέρωση</w:t>
      </w:r>
      <w:r w:rsidRPr="000F234F">
        <w:rPr>
          <w:rFonts w:ascii="Calibri" w:eastAsia="Calibri" w:hAnsi="Calibri" w:cs="Times New Roman"/>
        </w:rPr>
        <w:t xml:space="preserve"> χιλιάδων μικρομεσαίων επιχειρήσεων (</w:t>
      </w:r>
      <w:proofErr w:type="spellStart"/>
      <w:r w:rsidRPr="000F234F">
        <w:rPr>
          <w:rFonts w:ascii="Calibri" w:eastAsia="Calibri" w:hAnsi="Calibri" w:cs="Times New Roman"/>
        </w:rPr>
        <w:t>ΜμΕ</w:t>
      </w:r>
      <w:proofErr w:type="spellEnd"/>
      <w:r w:rsidRPr="000F234F">
        <w:rPr>
          <w:rFonts w:ascii="Calibri" w:eastAsia="Calibri" w:hAnsi="Calibri" w:cs="Times New Roman"/>
        </w:rPr>
        <w:t>) για τη νέα υποχρέωση</w:t>
      </w:r>
    </w:p>
    <w:p w14:paraId="0293BAA3" w14:textId="77777777" w:rsidR="000F234F" w:rsidRPr="000F234F" w:rsidRDefault="000F234F" w:rsidP="000F234F">
      <w:pPr>
        <w:numPr>
          <w:ilvl w:val="0"/>
          <w:numId w:val="7"/>
        </w:numPr>
        <w:contextualSpacing/>
        <w:jc w:val="both"/>
        <w:rPr>
          <w:rFonts w:ascii="Calibri" w:eastAsia="Calibri" w:hAnsi="Calibri" w:cs="Times New Roman"/>
        </w:rPr>
      </w:pPr>
      <w:r w:rsidRPr="000F234F">
        <w:rPr>
          <w:rFonts w:ascii="Calibri" w:eastAsia="Calibri" w:hAnsi="Calibri" w:cs="Times New Roman"/>
        </w:rPr>
        <w:t xml:space="preserve">Η </w:t>
      </w:r>
      <w:r w:rsidRPr="000F234F">
        <w:rPr>
          <w:rFonts w:ascii="Calibri" w:eastAsia="Calibri" w:hAnsi="Calibri" w:cs="Times New Roman"/>
          <w:b/>
          <w:bCs/>
        </w:rPr>
        <w:t>πολυπλοκότητα διαδικασιών</w:t>
      </w:r>
      <w:r w:rsidRPr="000F234F">
        <w:rPr>
          <w:rFonts w:ascii="Calibri" w:eastAsia="Calibri" w:hAnsi="Calibri" w:cs="Times New Roman"/>
        </w:rPr>
        <w:t xml:space="preserve"> για όσες λειτουργούσαν με «παλαιό» καθεστώς </w:t>
      </w:r>
      <w:proofErr w:type="spellStart"/>
      <w:r w:rsidRPr="000F234F">
        <w:rPr>
          <w:rFonts w:ascii="Calibri" w:eastAsia="Calibri" w:hAnsi="Calibri" w:cs="Times New Roman"/>
        </w:rPr>
        <w:t>αδειοδότησης</w:t>
      </w:r>
      <w:proofErr w:type="spellEnd"/>
      <w:r w:rsidRPr="000F234F">
        <w:rPr>
          <w:rFonts w:ascii="Calibri" w:eastAsia="Calibri" w:hAnsi="Calibri" w:cs="Times New Roman"/>
        </w:rPr>
        <w:t xml:space="preserve"> πριν τον ν. 4442/2016</w:t>
      </w:r>
    </w:p>
    <w:p w14:paraId="786B9DDB" w14:textId="77777777" w:rsidR="000F234F" w:rsidRPr="000F234F" w:rsidRDefault="000F234F" w:rsidP="000F234F">
      <w:pPr>
        <w:numPr>
          <w:ilvl w:val="0"/>
          <w:numId w:val="7"/>
        </w:numPr>
        <w:contextualSpacing/>
        <w:jc w:val="both"/>
        <w:rPr>
          <w:rFonts w:ascii="Calibri" w:eastAsia="Calibri" w:hAnsi="Calibri" w:cs="Times New Roman"/>
        </w:rPr>
      </w:pPr>
      <w:r w:rsidRPr="000F234F">
        <w:rPr>
          <w:rFonts w:ascii="Calibri" w:eastAsia="Calibri" w:hAnsi="Calibri" w:cs="Times New Roman"/>
        </w:rPr>
        <w:t xml:space="preserve">Οι </w:t>
      </w:r>
      <w:r w:rsidRPr="000F234F">
        <w:rPr>
          <w:rFonts w:ascii="Calibri" w:eastAsia="Calibri" w:hAnsi="Calibri" w:cs="Times New Roman"/>
          <w:b/>
          <w:bCs/>
        </w:rPr>
        <w:t>ασάφειες</w:t>
      </w:r>
      <w:r w:rsidRPr="000F234F">
        <w:rPr>
          <w:rFonts w:ascii="Calibri" w:eastAsia="Calibri" w:hAnsi="Calibri" w:cs="Times New Roman"/>
        </w:rPr>
        <w:t xml:space="preserve"> </w:t>
      </w:r>
      <w:r w:rsidRPr="000F234F">
        <w:rPr>
          <w:rFonts w:ascii="Calibri" w:eastAsia="Calibri" w:hAnsi="Calibri" w:cs="Times New Roman"/>
          <w:b/>
          <w:bCs/>
        </w:rPr>
        <w:t>σχετικά με τη μετάπτωση στοιχείων</w:t>
      </w:r>
      <w:r w:rsidRPr="000F234F">
        <w:rPr>
          <w:rFonts w:ascii="Calibri" w:eastAsia="Calibri" w:hAnsi="Calibri" w:cs="Times New Roman"/>
        </w:rPr>
        <w:t xml:space="preserve"> από το </w:t>
      </w:r>
      <w:proofErr w:type="spellStart"/>
      <w:r w:rsidRPr="000F234F">
        <w:rPr>
          <w:rFonts w:ascii="Calibri" w:eastAsia="Calibri" w:hAnsi="Calibri" w:cs="Times New Roman"/>
        </w:rPr>
        <w:t>NotifyBusiness</w:t>
      </w:r>
      <w:proofErr w:type="spellEnd"/>
      <w:r w:rsidRPr="000F234F">
        <w:rPr>
          <w:rFonts w:ascii="Calibri" w:eastAsia="Calibri" w:hAnsi="Calibri" w:cs="Times New Roman"/>
        </w:rPr>
        <w:t>,</w:t>
      </w:r>
    </w:p>
    <w:p w14:paraId="5393E5ED" w14:textId="77777777" w:rsidR="000F234F" w:rsidRPr="000F234F" w:rsidRDefault="000F234F" w:rsidP="000F234F">
      <w:pPr>
        <w:numPr>
          <w:ilvl w:val="0"/>
          <w:numId w:val="7"/>
        </w:numPr>
        <w:contextualSpacing/>
        <w:jc w:val="both"/>
        <w:rPr>
          <w:rFonts w:ascii="Calibri" w:eastAsia="Calibri" w:hAnsi="Calibri" w:cs="Times New Roman"/>
        </w:rPr>
      </w:pPr>
      <w:r w:rsidRPr="000F234F">
        <w:rPr>
          <w:rFonts w:ascii="Calibri" w:eastAsia="Calibri" w:hAnsi="Calibri" w:cs="Times New Roman"/>
        </w:rPr>
        <w:t xml:space="preserve">Η ύπαρξη επιχειρήσεων που βρίσκονται νόμιμα σε διαδικασία ανανέωσης αδειών χωρίς σαφή οδηγία για το αν απαιτείται </w:t>
      </w:r>
      <w:proofErr w:type="spellStart"/>
      <w:r w:rsidRPr="000F234F">
        <w:rPr>
          <w:rFonts w:ascii="Calibri" w:eastAsia="Calibri" w:hAnsi="Calibri" w:cs="Times New Roman"/>
        </w:rPr>
        <w:t>επαναπογραφή</w:t>
      </w:r>
      <w:proofErr w:type="spellEnd"/>
    </w:p>
    <w:p w14:paraId="6BE8A051" w14:textId="77777777" w:rsidR="000F234F" w:rsidRPr="000F234F" w:rsidRDefault="000F234F" w:rsidP="000F234F">
      <w:pPr>
        <w:numPr>
          <w:ilvl w:val="0"/>
          <w:numId w:val="7"/>
        </w:numPr>
        <w:contextualSpacing/>
        <w:jc w:val="both"/>
        <w:rPr>
          <w:rFonts w:ascii="Calibri" w:eastAsia="Calibri" w:hAnsi="Calibri" w:cs="Times New Roman"/>
        </w:rPr>
      </w:pPr>
      <w:r w:rsidRPr="000F234F">
        <w:rPr>
          <w:rFonts w:ascii="Calibri" w:eastAsia="Calibri" w:hAnsi="Calibri" w:cs="Times New Roman"/>
        </w:rPr>
        <w:t>καθώς και η ανάγκη τεκμηρίωσης στατικής επάρκειας παλαιών κτιρίων και η μη συμμόρφωση υφιστάμενων εγκαταστάσεων με νεότερες προϋποθέσεις (π.χ. έγκριση εισόδου–εξόδου).</w:t>
      </w:r>
    </w:p>
    <w:p w14:paraId="565B40DB" w14:textId="77777777" w:rsidR="000F234F" w:rsidRPr="000F234F" w:rsidRDefault="000F234F" w:rsidP="000F234F">
      <w:pPr>
        <w:jc w:val="both"/>
        <w:rPr>
          <w:rFonts w:ascii="Calibri" w:eastAsia="Calibri" w:hAnsi="Calibri" w:cs="Times New Roman"/>
        </w:rPr>
      </w:pPr>
    </w:p>
    <w:p w14:paraId="05D3EE19"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Λαμβάνοντας υπόψη τα παραπάνω, το Β.Ε.Α. είχε ζητήσει:</w:t>
      </w:r>
    </w:p>
    <w:p w14:paraId="2E61F512" w14:textId="77777777" w:rsidR="000F234F" w:rsidRPr="000F234F" w:rsidRDefault="000F234F" w:rsidP="000F234F">
      <w:pPr>
        <w:numPr>
          <w:ilvl w:val="0"/>
          <w:numId w:val="8"/>
        </w:numPr>
        <w:contextualSpacing/>
        <w:jc w:val="both"/>
        <w:rPr>
          <w:rFonts w:ascii="Calibri" w:eastAsia="Calibri" w:hAnsi="Calibri" w:cs="Times New Roman"/>
        </w:rPr>
      </w:pPr>
      <w:r w:rsidRPr="000F234F">
        <w:rPr>
          <w:rFonts w:ascii="Calibri" w:eastAsia="Calibri" w:hAnsi="Calibri" w:cs="Times New Roman"/>
          <w:b/>
          <w:bCs/>
        </w:rPr>
        <w:t>Ετήσια παράταση</w:t>
      </w:r>
      <w:r w:rsidRPr="000F234F">
        <w:rPr>
          <w:rFonts w:ascii="Calibri" w:eastAsia="Calibri" w:hAnsi="Calibri" w:cs="Times New Roman"/>
        </w:rPr>
        <w:t xml:space="preserve"> χωρίς επιβολή παραβόλου 200 ευρώ.</w:t>
      </w:r>
    </w:p>
    <w:p w14:paraId="7F039205" w14:textId="77777777" w:rsidR="000F234F" w:rsidRPr="000F234F" w:rsidRDefault="000F234F" w:rsidP="000F234F">
      <w:pPr>
        <w:numPr>
          <w:ilvl w:val="0"/>
          <w:numId w:val="8"/>
        </w:numPr>
        <w:contextualSpacing/>
        <w:jc w:val="both"/>
        <w:rPr>
          <w:rFonts w:ascii="Calibri" w:eastAsia="Calibri" w:hAnsi="Calibri" w:cs="Times New Roman"/>
        </w:rPr>
      </w:pPr>
      <w:r w:rsidRPr="000F234F">
        <w:rPr>
          <w:rFonts w:ascii="Calibri" w:eastAsia="Calibri" w:hAnsi="Calibri" w:cs="Times New Roman"/>
          <w:b/>
          <w:bCs/>
        </w:rPr>
        <w:t>Ενεργοποίηση καναλιών ενημέρωσης</w:t>
      </w:r>
      <w:r w:rsidRPr="000F234F">
        <w:rPr>
          <w:rFonts w:ascii="Calibri" w:eastAsia="Calibri" w:hAnsi="Calibri" w:cs="Times New Roman"/>
        </w:rPr>
        <w:t xml:space="preserve"> μέσω των Επιμελητηρίων.</w:t>
      </w:r>
    </w:p>
    <w:p w14:paraId="4705CBE4" w14:textId="77777777" w:rsidR="000F234F" w:rsidRPr="000F234F" w:rsidRDefault="000F234F" w:rsidP="000F234F">
      <w:pPr>
        <w:numPr>
          <w:ilvl w:val="0"/>
          <w:numId w:val="8"/>
        </w:numPr>
        <w:contextualSpacing/>
        <w:jc w:val="both"/>
        <w:rPr>
          <w:rFonts w:ascii="Calibri" w:eastAsia="Calibri" w:hAnsi="Calibri" w:cs="Times New Roman"/>
        </w:rPr>
      </w:pPr>
      <w:r w:rsidRPr="000F234F">
        <w:rPr>
          <w:rFonts w:ascii="Calibri" w:eastAsia="Calibri" w:hAnsi="Calibri" w:cs="Times New Roman"/>
          <w:b/>
          <w:bCs/>
        </w:rPr>
        <w:t>Ευρεία διαβούλευση</w:t>
      </w:r>
      <w:r w:rsidRPr="000F234F">
        <w:rPr>
          <w:rFonts w:ascii="Calibri" w:eastAsia="Calibri" w:hAnsi="Calibri" w:cs="Times New Roman"/>
        </w:rPr>
        <w:t xml:space="preserve"> Πολιτείας – Επιμελητηρίων για το </w:t>
      </w:r>
      <w:proofErr w:type="spellStart"/>
      <w:r w:rsidRPr="000F234F">
        <w:rPr>
          <w:rFonts w:ascii="Calibri" w:eastAsia="Calibri" w:hAnsi="Calibri" w:cs="Times New Roman"/>
        </w:rPr>
        <w:t>αδειοδοτικό</w:t>
      </w:r>
      <w:proofErr w:type="spellEnd"/>
      <w:r w:rsidRPr="000F234F">
        <w:rPr>
          <w:rFonts w:ascii="Calibri" w:eastAsia="Calibri" w:hAnsi="Calibri" w:cs="Times New Roman"/>
        </w:rPr>
        <w:t xml:space="preserve"> καθεστώς.</w:t>
      </w:r>
    </w:p>
    <w:p w14:paraId="446BD041" w14:textId="77777777" w:rsidR="000F234F" w:rsidRPr="000F234F" w:rsidRDefault="000F234F" w:rsidP="000F234F">
      <w:pPr>
        <w:numPr>
          <w:ilvl w:val="0"/>
          <w:numId w:val="8"/>
        </w:numPr>
        <w:contextualSpacing/>
        <w:jc w:val="both"/>
        <w:rPr>
          <w:rFonts w:ascii="Calibri" w:eastAsia="Calibri" w:hAnsi="Calibri" w:cs="Times New Roman"/>
        </w:rPr>
      </w:pPr>
      <w:r w:rsidRPr="000F234F">
        <w:rPr>
          <w:rFonts w:ascii="Calibri" w:eastAsia="Calibri" w:hAnsi="Calibri" w:cs="Times New Roman"/>
          <w:b/>
          <w:bCs/>
        </w:rPr>
        <w:t>Νομοθετικές προσαρμογές</w:t>
      </w:r>
      <w:r w:rsidRPr="000F234F">
        <w:rPr>
          <w:rFonts w:ascii="Calibri" w:eastAsia="Calibri" w:hAnsi="Calibri" w:cs="Times New Roman"/>
        </w:rPr>
        <w:t xml:space="preserve"> ώστε να λυθούν θεσμικά κενά και ασάφειες που αφορούν χιλιάδες υφιστάμενες δραστηριότητες.</w:t>
      </w:r>
    </w:p>
    <w:p w14:paraId="77213310" w14:textId="77777777" w:rsidR="000F234F" w:rsidRPr="00FF3D1E" w:rsidRDefault="000F234F" w:rsidP="000F234F">
      <w:pPr>
        <w:jc w:val="both"/>
        <w:rPr>
          <w:rFonts w:ascii="Calibri" w:eastAsia="Calibri" w:hAnsi="Calibri" w:cs="Times New Roman"/>
        </w:rPr>
      </w:pPr>
      <w:r w:rsidRPr="000F234F">
        <w:rPr>
          <w:rFonts w:ascii="Calibri" w:eastAsia="Calibri" w:hAnsi="Calibri" w:cs="Times New Roman"/>
        </w:rPr>
        <w:t> </w:t>
      </w:r>
    </w:p>
    <w:p w14:paraId="4FB0EAC4"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 Η εξέλιξη αυτή αποτελεί άμεσο αποτέλεσμα της τεκμηριωμένης παρέμβασης του Β.Ε.Α., το οποίο είχε επισημάνει εγκαίρως προς την πολιτική ηγεσία τα σοβαρά πρακτικά και θεσμικά εμπόδια που καθιστούσαν μη ρεαλιστική την αρχική προθεσμία της 31</w:t>
      </w:r>
      <w:r w:rsidRPr="000F234F">
        <w:rPr>
          <w:rFonts w:ascii="Calibri" w:eastAsia="Calibri" w:hAnsi="Calibri" w:cs="Times New Roman"/>
          <w:vertAlign w:val="superscript"/>
        </w:rPr>
        <w:t>ης.</w:t>
      </w:r>
      <w:r w:rsidRPr="000F234F">
        <w:rPr>
          <w:rFonts w:ascii="Calibri" w:eastAsia="Calibri" w:hAnsi="Calibri" w:cs="Times New Roman"/>
        </w:rPr>
        <w:t xml:space="preserve"> 12.2025, όπως αυτή προβλέπεται στο άρθρο 95 του Ν. 5172/2025.</w:t>
      </w:r>
    </w:p>
    <w:p w14:paraId="512B4814"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Το </w:t>
      </w:r>
      <w:r w:rsidRPr="000F234F">
        <w:rPr>
          <w:rFonts w:ascii="Calibri" w:eastAsia="Calibri" w:hAnsi="Calibri" w:cs="Times New Roman"/>
          <w:b/>
          <w:bCs/>
        </w:rPr>
        <w:t>Βιοτεχνικό Επιμελητήριο Αθήνας (Β.Ε.Α.),</w:t>
      </w:r>
      <w:r w:rsidRPr="000F234F">
        <w:rPr>
          <w:rFonts w:ascii="Calibri" w:eastAsia="Calibri" w:hAnsi="Calibri" w:cs="Times New Roman"/>
        </w:rPr>
        <w:t xml:space="preserve"> με στόχο τη διασφάλιση της ομαλής μετάβασης στο νέο καθεστώς, θα προχωρήσει:</w:t>
      </w:r>
    </w:p>
    <w:p w14:paraId="0479102B" w14:textId="77777777" w:rsidR="000F234F" w:rsidRPr="000F234F" w:rsidRDefault="000F234F" w:rsidP="000F234F">
      <w:pPr>
        <w:numPr>
          <w:ilvl w:val="0"/>
          <w:numId w:val="9"/>
        </w:numPr>
        <w:contextualSpacing/>
        <w:jc w:val="both"/>
        <w:rPr>
          <w:rFonts w:ascii="Calibri" w:eastAsia="Calibri" w:hAnsi="Calibri" w:cs="Times New Roman"/>
        </w:rPr>
      </w:pPr>
      <w:r w:rsidRPr="000F234F">
        <w:rPr>
          <w:rFonts w:ascii="Calibri" w:eastAsia="Calibri" w:hAnsi="Calibri" w:cs="Times New Roman"/>
        </w:rPr>
        <w:t xml:space="preserve">στη </w:t>
      </w:r>
      <w:r w:rsidRPr="000F234F">
        <w:rPr>
          <w:rFonts w:ascii="Calibri" w:eastAsia="Calibri" w:hAnsi="Calibri" w:cs="Times New Roman"/>
          <w:b/>
          <w:bCs/>
        </w:rPr>
        <w:t>διοργάνωση κεντρικής ενημερωτικής εκδήλωσης</w:t>
      </w:r>
      <w:r w:rsidRPr="000F234F">
        <w:rPr>
          <w:rFonts w:ascii="Calibri" w:eastAsia="Calibri" w:hAnsi="Calibri" w:cs="Times New Roman"/>
        </w:rPr>
        <w:t>,</w:t>
      </w:r>
    </w:p>
    <w:p w14:paraId="336E007D" w14:textId="77777777" w:rsidR="000F234F" w:rsidRPr="000F234F" w:rsidRDefault="000F234F" w:rsidP="000F234F">
      <w:pPr>
        <w:numPr>
          <w:ilvl w:val="0"/>
          <w:numId w:val="9"/>
        </w:numPr>
        <w:contextualSpacing/>
        <w:jc w:val="both"/>
        <w:rPr>
          <w:rFonts w:ascii="Calibri" w:eastAsia="Calibri" w:hAnsi="Calibri" w:cs="Times New Roman"/>
        </w:rPr>
      </w:pPr>
      <w:r w:rsidRPr="000F234F">
        <w:rPr>
          <w:rFonts w:ascii="Calibri" w:eastAsia="Calibri" w:hAnsi="Calibri" w:cs="Times New Roman"/>
          <w:b/>
          <w:bCs/>
        </w:rPr>
        <w:t xml:space="preserve">σε </w:t>
      </w:r>
      <w:proofErr w:type="spellStart"/>
      <w:r w:rsidRPr="000F234F">
        <w:rPr>
          <w:rFonts w:ascii="Calibri" w:eastAsia="Calibri" w:hAnsi="Calibri" w:cs="Times New Roman"/>
          <w:b/>
          <w:bCs/>
        </w:rPr>
        <w:t>στοχευμένες</w:t>
      </w:r>
      <w:proofErr w:type="spellEnd"/>
      <w:r w:rsidRPr="000F234F">
        <w:rPr>
          <w:rFonts w:ascii="Calibri" w:eastAsia="Calibri" w:hAnsi="Calibri" w:cs="Times New Roman"/>
          <w:b/>
          <w:bCs/>
        </w:rPr>
        <w:t xml:space="preserve"> ενημερώσεις ανά κλάδο δραστηριότητας</w:t>
      </w:r>
      <w:r w:rsidRPr="000F234F">
        <w:rPr>
          <w:rFonts w:ascii="Calibri" w:eastAsia="Calibri" w:hAnsi="Calibri" w:cs="Times New Roman"/>
        </w:rPr>
        <w:t>, σε συνεργασία με τους αρμόδιους φορείς.</w:t>
      </w:r>
    </w:p>
    <w:p w14:paraId="1E157E19" w14:textId="77777777" w:rsidR="000F234F" w:rsidRPr="000F234F" w:rsidRDefault="000F234F" w:rsidP="000F234F">
      <w:pPr>
        <w:jc w:val="both"/>
        <w:rPr>
          <w:rFonts w:ascii="Calibri" w:eastAsia="Calibri" w:hAnsi="Calibri" w:cs="Times New Roman"/>
        </w:rPr>
      </w:pPr>
      <w:r w:rsidRPr="000F234F">
        <w:rPr>
          <w:rFonts w:ascii="Calibri" w:eastAsia="Calibri" w:hAnsi="Calibri" w:cs="Times New Roman"/>
        </w:rPr>
        <w:t xml:space="preserve">Ως εκ τούτου, </w:t>
      </w:r>
      <w:r w:rsidRPr="000F234F">
        <w:rPr>
          <w:rFonts w:ascii="Calibri" w:eastAsia="Calibri" w:hAnsi="Calibri" w:cs="Times New Roman"/>
          <w:b/>
          <w:bCs/>
        </w:rPr>
        <w:t>το Βιοτεχνικό Επιμελητήριο Αθήνας (Β.Ε.Α.) χαιρετίζει τη νομοθετική ρύθμιση</w:t>
      </w:r>
      <w:r w:rsidRPr="000F234F">
        <w:rPr>
          <w:rFonts w:ascii="Calibri" w:eastAsia="Calibri" w:hAnsi="Calibri" w:cs="Times New Roman"/>
        </w:rPr>
        <w:t xml:space="preserve"> που δημοσιεύθηκε στο ΦΕΚ με τον νέο νόμο 5255/2025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w:t>
      </w:r>
    </w:p>
    <w:p w14:paraId="399351E2" w14:textId="77777777" w:rsidR="000F234F" w:rsidRPr="000F234F" w:rsidRDefault="000F234F" w:rsidP="000F234F">
      <w:pPr>
        <w:jc w:val="both"/>
        <w:rPr>
          <w:rFonts w:ascii="Calibri" w:eastAsia="Calibri" w:hAnsi="Calibri" w:cs="Times New Roman"/>
          <w:b/>
          <w:bCs/>
        </w:rPr>
      </w:pPr>
      <w:r w:rsidRPr="000F234F">
        <w:rPr>
          <w:rFonts w:ascii="Calibri" w:eastAsia="Calibri" w:hAnsi="Calibri" w:cs="Times New Roman"/>
          <w:b/>
          <w:bCs/>
        </w:rPr>
        <w:t>Ο Πρόεδρος του Β.Ε.Α., κ. Κωνσταντίνος Δαμίγος επισημαίνει:</w:t>
      </w:r>
    </w:p>
    <w:p w14:paraId="63B92BE8" w14:textId="77777777" w:rsidR="000F234F" w:rsidRPr="000F234F" w:rsidRDefault="000F234F" w:rsidP="000F234F">
      <w:pPr>
        <w:jc w:val="both"/>
        <w:rPr>
          <w:rFonts w:ascii="Calibri" w:eastAsia="Calibri" w:hAnsi="Calibri" w:cs="Times New Roman"/>
          <w:b/>
          <w:bCs/>
        </w:rPr>
      </w:pPr>
      <w:r w:rsidRPr="000F234F">
        <w:rPr>
          <w:rFonts w:ascii="Calibri" w:eastAsia="Calibri" w:hAnsi="Calibri" w:cs="Times New Roman"/>
          <w:b/>
          <w:bCs/>
        </w:rPr>
        <w:t xml:space="preserve">«Η μετάβαση σε ένα σύγχρονο, ψηφιακό και ενιαίο σύστημα </w:t>
      </w:r>
      <w:proofErr w:type="spellStart"/>
      <w:r w:rsidRPr="000F234F">
        <w:rPr>
          <w:rFonts w:ascii="Calibri" w:eastAsia="Calibri" w:hAnsi="Calibri" w:cs="Times New Roman"/>
          <w:b/>
          <w:bCs/>
        </w:rPr>
        <w:t>αδειοδότησης</w:t>
      </w:r>
      <w:proofErr w:type="spellEnd"/>
      <w:r w:rsidRPr="000F234F">
        <w:rPr>
          <w:rFonts w:ascii="Calibri" w:eastAsia="Calibri" w:hAnsi="Calibri" w:cs="Times New Roman"/>
          <w:b/>
          <w:bCs/>
        </w:rPr>
        <w:t xml:space="preserve"> είναι απόφαση στρατηγικής σημασίας για τη λειτουργία των μικρομεσαίων επιχειρήσεων (</w:t>
      </w:r>
      <w:proofErr w:type="spellStart"/>
      <w:r w:rsidRPr="000F234F">
        <w:rPr>
          <w:rFonts w:ascii="Calibri" w:eastAsia="Calibri" w:hAnsi="Calibri" w:cs="Times New Roman"/>
          <w:b/>
          <w:bCs/>
        </w:rPr>
        <w:t>ΜμΕ</w:t>
      </w:r>
      <w:proofErr w:type="spellEnd"/>
      <w:r w:rsidRPr="000F234F">
        <w:rPr>
          <w:rFonts w:ascii="Calibri" w:eastAsia="Calibri" w:hAnsi="Calibri" w:cs="Times New Roman"/>
          <w:b/>
          <w:bCs/>
        </w:rPr>
        <w:t>). Το Β.Ε.Α. θα συνεχίσει να διεκδικεί πρακτικές λύσεις, τεκμηριωμένες ρυθμίσεις και ουσιαστική υποστήριξη προς τους βιοτέχνες και επαγγελματίες που καλούνται να προσαρμοστούν στις νέες απαιτήσεις. </w:t>
      </w:r>
    </w:p>
    <w:p w14:paraId="51D65732" w14:textId="77777777" w:rsidR="000F234F" w:rsidRPr="000F234F" w:rsidRDefault="000F234F" w:rsidP="000F234F">
      <w:pPr>
        <w:jc w:val="both"/>
        <w:rPr>
          <w:rFonts w:ascii="Calibri" w:eastAsia="Calibri" w:hAnsi="Calibri" w:cs="Times New Roman"/>
          <w:b/>
          <w:bCs/>
        </w:rPr>
      </w:pPr>
      <w:r w:rsidRPr="000F234F">
        <w:rPr>
          <w:rFonts w:ascii="Calibri" w:eastAsia="Calibri" w:hAnsi="Calibri" w:cs="Times New Roman"/>
          <w:b/>
          <w:bCs/>
        </w:rPr>
        <w:t>Το Βιοτεχνικό Επιμελητήριο Αθήνας</w:t>
      </w:r>
      <w:r w:rsidRPr="000F234F">
        <w:rPr>
          <w:rFonts w:ascii="Calibri" w:eastAsia="Calibri" w:hAnsi="Calibri" w:cs="Times New Roman"/>
        </w:rPr>
        <w:t xml:space="preserve"> </w:t>
      </w:r>
      <w:r w:rsidRPr="000F234F">
        <w:rPr>
          <w:rFonts w:ascii="Calibri" w:eastAsia="Calibri" w:hAnsi="Calibri" w:cs="Times New Roman"/>
          <w:b/>
          <w:bCs/>
        </w:rPr>
        <w:t>(</w:t>
      </w:r>
      <w:r w:rsidRPr="000F234F">
        <w:rPr>
          <w:rFonts w:ascii="Calibri" w:eastAsia="Calibri" w:hAnsi="Calibri" w:cs="Times New Roman"/>
          <w:b/>
          <w:bCs/>
          <w:lang w:val="en-US"/>
        </w:rPr>
        <w:t>B</w:t>
      </w:r>
      <w:r w:rsidRPr="000F234F">
        <w:rPr>
          <w:rFonts w:ascii="Calibri" w:eastAsia="Calibri" w:hAnsi="Calibri" w:cs="Times New Roman"/>
          <w:b/>
          <w:bCs/>
        </w:rPr>
        <w:t>.</w:t>
      </w:r>
      <w:r w:rsidRPr="000F234F">
        <w:rPr>
          <w:rFonts w:ascii="Calibri" w:eastAsia="Calibri" w:hAnsi="Calibri" w:cs="Times New Roman"/>
          <w:b/>
          <w:bCs/>
          <w:lang w:val="en-US"/>
        </w:rPr>
        <w:t>E</w:t>
      </w:r>
      <w:r w:rsidRPr="000F234F">
        <w:rPr>
          <w:rFonts w:ascii="Calibri" w:eastAsia="Calibri" w:hAnsi="Calibri" w:cs="Times New Roman"/>
          <w:b/>
          <w:bCs/>
        </w:rPr>
        <w:t>.</w:t>
      </w:r>
      <w:r w:rsidRPr="000F234F">
        <w:rPr>
          <w:rFonts w:ascii="Calibri" w:eastAsia="Calibri" w:hAnsi="Calibri" w:cs="Times New Roman"/>
          <w:b/>
          <w:bCs/>
          <w:lang w:val="en-US"/>
        </w:rPr>
        <w:t>A</w:t>
      </w:r>
      <w:r w:rsidRPr="000F234F">
        <w:rPr>
          <w:rFonts w:ascii="Calibri" w:eastAsia="Calibri" w:hAnsi="Calibri" w:cs="Times New Roman"/>
          <w:b/>
          <w:bCs/>
        </w:rPr>
        <w:t>.)</w:t>
      </w:r>
      <w:r w:rsidRPr="000F234F">
        <w:rPr>
          <w:rFonts w:ascii="Calibri" w:eastAsia="Calibri" w:hAnsi="Calibri" w:cs="Times New Roman"/>
        </w:rPr>
        <w:t xml:space="preserve">, </w:t>
      </w:r>
      <w:r w:rsidRPr="000F234F">
        <w:rPr>
          <w:rFonts w:ascii="Calibri" w:eastAsia="Calibri" w:hAnsi="Calibri" w:cs="Times New Roman"/>
          <w:b/>
          <w:bCs/>
        </w:rPr>
        <w:t xml:space="preserve">παραμένει σταθερά προσανατολισμένο στη στήριξη της μικρομεσαίας επιχειρηματικότητας και θα συνεχίσει να παρακολουθεί στενά την εφαρμογή του </w:t>
      </w:r>
      <w:proofErr w:type="spellStart"/>
      <w:r w:rsidRPr="000F234F">
        <w:rPr>
          <w:rFonts w:ascii="Calibri" w:eastAsia="Calibri" w:hAnsi="Calibri" w:cs="Times New Roman"/>
          <w:b/>
          <w:bCs/>
        </w:rPr>
        <w:t>OpenBusiness</w:t>
      </w:r>
      <w:proofErr w:type="spellEnd"/>
      <w:r w:rsidRPr="000F234F">
        <w:rPr>
          <w:rFonts w:ascii="Calibri" w:eastAsia="Calibri" w:hAnsi="Calibri" w:cs="Times New Roman"/>
          <w:b/>
          <w:bCs/>
        </w:rPr>
        <w:t>, καταθέτοντας προτάσεις όπου χρειάζεται».</w:t>
      </w:r>
    </w:p>
    <w:sectPr w:rsidR="000F234F" w:rsidRPr="000F234F" w:rsidSect="00FF3D1E">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24pt;height:24pt;visibility:visible;mso-wrap-style:square" o:bullet="t">
        <v:imagedata r:id="rId1" o:title="✅"/>
      </v:shape>
    </w:pict>
  </w:numPicBullet>
  <w:abstractNum w:abstractNumId="0" w15:restartNumberingAfterBreak="0">
    <w:nsid w:val="11175A2C"/>
    <w:multiLevelType w:val="hybridMultilevel"/>
    <w:tmpl w:val="38A21E5A"/>
    <w:lvl w:ilvl="0" w:tplc="B978DBD2">
      <w:start w:val="1"/>
      <w:numFmt w:val="bullet"/>
      <w:lvlText w:val=""/>
      <w:lvlPicBulletId w:val="0"/>
      <w:lvlJc w:val="left"/>
      <w:pPr>
        <w:tabs>
          <w:tab w:val="num" w:pos="720"/>
        </w:tabs>
        <w:ind w:left="720" w:hanging="360"/>
      </w:pPr>
      <w:rPr>
        <w:rFonts w:ascii="Symbol" w:hAnsi="Symbol" w:hint="default"/>
      </w:rPr>
    </w:lvl>
    <w:lvl w:ilvl="1" w:tplc="A6269686" w:tentative="1">
      <w:start w:val="1"/>
      <w:numFmt w:val="bullet"/>
      <w:lvlText w:val=""/>
      <w:lvlJc w:val="left"/>
      <w:pPr>
        <w:tabs>
          <w:tab w:val="num" w:pos="1440"/>
        </w:tabs>
        <w:ind w:left="1440" w:hanging="360"/>
      </w:pPr>
      <w:rPr>
        <w:rFonts w:ascii="Symbol" w:hAnsi="Symbol" w:hint="default"/>
      </w:rPr>
    </w:lvl>
    <w:lvl w:ilvl="2" w:tplc="0792CD94" w:tentative="1">
      <w:start w:val="1"/>
      <w:numFmt w:val="bullet"/>
      <w:lvlText w:val=""/>
      <w:lvlJc w:val="left"/>
      <w:pPr>
        <w:tabs>
          <w:tab w:val="num" w:pos="2160"/>
        </w:tabs>
        <w:ind w:left="2160" w:hanging="360"/>
      </w:pPr>
      <w:rPr>
        <w:rFonts w:ascii="Symbol" w:hAnsi="Symbol" w:hint="default"/>
      </w:rPr>
    </w:lvl>
    <w:lvl w:ilvl="3" w:tplc="37E0EB40" w:tentative="1">
      <w:start w:val="1"/>
      <w:numFmt w:val="bullet"/>
      <w:lvlText w:val=""/>
      <w:lvlJc w:val="left"/>
      <w:pPr>
        <w:tabs>
          <w:tab w:val="num" w:pos="2880"/>
        </w:tabs>
        <w:ind w:left="2880" w:hanging="360"/>
      </w:pPr>
      <w:rPr>
        <w:rFonts w:ascii="Symbol" w:hAnsi="Symbol" w:hint="default"/>
      </w:rPr>
    </w:lvl>
    <w:lvl w:ilvl="4" w:tplc="AEDA60C2" w:tentative="1">
      <w:start w:val="1"/>
      <w:numFmt w:val="bullet"/>
      <w:lvlText w:val=""/>
      <w:lvlJc w:val="left"/>
      <w:pPr>
        <w:tabs>
          <w:tab w:val="num" w:pos="3600"/>
        </w:tabs>
        <w:ind w:left="3600" w:hanging="360"/>
      </w:pPr>
      <w:rPr>
        <w:rFonts w:ascii="Symbol" w:hAnsi="Symbol" w:hint="default"/>
      </w:rPr>
    </w:lvl>
    <w:lvl w:ilvl="5" w:tplc="66AE8B9E" w:tentative="1">
      <w:start w:val="1"/>
      <w:numFmt w:val="bullet"/>
      <w:lvlText w:val=""/>
      <w:lvlJc w:val="left"/>
      <w:pPr>
        <w:tabs>
          <w:tab w:val="num" w:pos="4320"/>
        </w:tabs>
        <w:ind w:left="4320" w:hanging="360"/>
      </w:pPr>
      <w:rPr>
        <w:rFonts w:ascii="Symbol" w:hAnsi="Symbol" w:hint="default"/>
      </w:rPr>
    </w:lvl>
    <w:lvl w:ilvl="6" w:tplc="B8C26460" w:tentative="1">
      <w:start w:val="1"/>
      <w:numFmt w:val="bullet"/>
      <w:lvlText w:val=""/>
      <w:lvlJc w:val="left"/>
      <w:pPr>
        <w:tabs>
          <w:tab w:val="num" w:pos="5040"/>
        </w:tabs>
        <w:ind w:left="5040" w:hanging="360"/>
      </w:pPr>
      <w:rPr>
        <w:rFonts w:ascii="Symbol" w:hAnsi="Symbol" w:hint="default"/>
      </w:rPr>
    </w:lvl>
    <w:lvl w:ilvl="7" w:tplc="26643110" w:tentative="1">
      <w:start w:val="1"/>
      <w:numFmt w:val="bullet"/>
      <w:lvlText w:val=""/>
      <w:lvlJc w:val="left"/>
      <w:pPr>
        <w:tabs>
          <w:tab w:val="num" w:pos="5760"/>
        </w:tabs>
        <w:ind w:left="5760" w:hanging="360"/>
      </w:pPr>
      <w:rPr>
        <w:rFonts w:ascii="Symbol" w:hAnsi="Symbol" w:hint="default"/>
      </w:rPr>
    </w:lvl>
    <w:lvl w:ilvl="8" w:tplc="80409B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D413F2"/>
    <w:multiLevelType w:val="hybridMultilevel"/>
    <w:tmpl w:val="D2C8C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72A1EA3"/>
    <w:multiLevelType w:val="multilevel"/>
    <w:tmpl w:val="06E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A2B82"/>
    <w:multiLevelType w:val="hybridMultilevel"/>
    <w:tmpl w:val="BEB81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E06EEB"/>
    <w:multiLevelType w:val="multilevel"/>
    <w:tmpl w:val="FC8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776A0"/>
    <w:multiLevelType w:val="hybridMultilevel"/>
    <w:tmpl w:val="556097F4"/>
    <w:lvl w:ilvl="0" w:tplc="E098AE3E">
      <w:start w:val="1"/>
      <w:numFmt w:val="bullet"/>
      <w:lvlText w:val=""/>
      <w:lvlPicBulletId w:val="0"/>
      <w:lvlJc w:val="left"/>
      <w:pPr>
        <w:tabs>
          <w:tab w:val="num" w:pos="720"/>
        </w:tabs>
        <w:ind w:left="720" w:hanging="360"/>
      </w:pPr>
      <w:rPr>
        <w:rFonts w:ascii="Symbol" w:hAnsi="Symbol" w:hint="default"/>
      </w:rPr>
    </w:lvl>
    <w:lvl w:ilvl="1" w:tplc="19369F02" w:tentative="1">
      <w:start w:val="1"/>
      <w:numFmt w:val="bullet"/>
      <w:lvlText w:val=""/>
      <w:lvlJc w:val="left"/>
      <w:pPr>
        <w:tabs>
          <w:tab w:val="num" w:pos="1440"/>
        </w:tabs>
        <w:ind w:left="1440" w:hanging="360"/>
      </w:pPr>
      <w:rPr>
        <w:rFonts w:ascii="Symbol" w:hAnsi="Symbol" w:hint="default"/>
      </w:rPr>
    </w:lvl>
    <w:lvl w:ilvl="2" w:tplc="795A0D48" w:tentative="1">
      <w:start w:val="1"/>
      <w:numFmt w:val="bullet"/>
      <w:lvlText w:val=""/>
      <w:lvlJc w:val="left"/>
      <w:pPr>
        <w:tabs>
          <w:tab w:val="num" w:pos="2160"/>
        </w:tabs>
        <w:ind w:left="2160" w:hanging="360"/>
      </w:pPr>
      <w:rPr>
        <w:rFonts w:ascii="Symbol" w:hAnsi="Symbol" w:hint="default"/>
      </w:rPr>
    </w:lvl>
    <w:lvl w:ilvl="3" w:tplc="FD960E52" w:tentative="1">
      <w:start w:val="1"/>
      <w:numFmt w:val="bullet"/>
      <w:lvlText w:val=""/>
      <w:lvlJc w:val="left"/>
      <w:pPr>
        <w:tabs>
          <w:tab w:val="num" w:pos="2880"/>
        </w:tabs>
        <w:ind w:left="2880" w:hanging="360"/>
      </w:pPr>
      <w:rPr>
        <w:rFonts w:ascii="Symbol" w:hAnsi="Symbol" w:hint="default"/>
      </w:rPr>
    </w:lvl>
    <w:lvl w:ilvl="4" w:tplc="CA34C032" w:tentative="1">
      <w:start w:val="1"/>
      <w:numFmt w:val="bullet"/>
      <w:lvlText w:val=""/>
      <w:lvlJc w:val="left"/>
      <w:pPr>
        <w:tabs>
          <w:tab w:val="num" w:pos="3600"/>
        </w:tabs>
        <w:ind w:left="3600" w:hanging="360"/>
      </w:pPr>
      <w:rPr>
        <w:rFonts w:ascii="Symbol" w:hAnsi="Symbol" w:hint="default"/>
      </w:rPr>
    </w:lvl>
    <w:lvl w:ilvl="5" w:tplc="D44600B6" w:tentative="1">
      <w:start w:val="1"/>
      <w:numFmt w:val="bullet"/>
      <w:lvlText w:val=""/>
      <w:lvlJc w:val="left"/>
      <w:pPr>
        <w:tabs>
          <w:tab w:val="num" w:pos="4320"/>
        </w:tabs>
        <w:ind w:left="4320" w:hanging="360"/>
      </w:pPr>
      <w:rPr>
        <w:rFonts w:ascii="Symbol" w:hAnsi="Symbol" w:hint="default"/>
      </w:rPr>
    </w:lvl>
    <w:lvl w:ilvl="6" w:tplc="C5E0A008" w:tentative="1">
      <w:start w:val="1"/>
      <w:numFmt w:val="bullet"/>
      <w:lvlText w:val=""/>
      <w:lvlJc w:val="left"/>
      <w:pPr>
        <w:tabs>
          <w:tab w:val="num" w:pos="5040"/>
        </w:tabs>
        <w:ind w:left="5040" w:hanging="360"/>
      </w:pPr>
      <w:rPr>
        <w:rFonts w:ascii="Symbol" w:hAnsi="Symbol" w:hint="default"/>
      </w:rPr>
    </w:lvl>
    <w:lvl w:ilvl="7" w:tplc="C7DCC4E4" w:tentative="1">
      <w:start w:val="1"/>
      <w:numFmt w:val="bullet"/>
      <w:lvlText w:val=""/>
      <w:lvlJc w:val="left"/>
      <w:pPr>
        <w:tabs>
          <w:tab w:val="num" w:pos="5760"/>
        </w:tabs>
        <w:ind w:left="5760" w:hanging="360"/>
      </w:pPr>
      <w:rPr>
        <w:rFonts w:ascii="Symbol" w:hAnsi="Symbol" w:hint="default"/>
      </w:rPr>
    </w:lvl>
    <w:lvl w:ilvl="8" w:tplc="09D4772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F3F1C88"/>
    <w:multiLevelType w:val="hybridMultilevel"/>
    <w:tmpl w:val="767C0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4B644D8"/>
    <w:multiLevelType w:val="hybridMultilevel"/>
    <w:tmpl w:val="C6CAB566"/>
    <w:lvl w:ilvl="0" w:tplc="77FA46B6">
      <w:start w:val="1"/>
      <w:numFmt w:val="bullet"/>
      <w:lvlText w:val=""/>
      <w:lvlPicBulletId w:val="0"/>
      <w:lvlJc w:val="left"/>
      <w:pPr>
        <w:tabs>
          <w:tab w:val="num" w:pos="720"/>
        </w:tabs>
        <w:ind w:left="720" w:hanging="360"/>
      </w:pPr>
      <w:rPr>
        <w:rFonts w:ascii="Symbol" w:hAnsi="Symbol" w:hint="default"/>
      </w:rPr>
    </w:lvl>
    <w:lvl w:ilvl="1" w:tplc="234A4D14" w:tentative="1">
      <w:start w:val="1"/>
      <w:numFmt w:val="bullet"/>
      <w:lvlText w:val=""/>
      <w:lvlJc w:val="left"/>
      <w:pPr>
        <w:tabs>
          <w:tab w:val="num" w:pos="1440"/>
        </w:tabs>
        <w:ind w:left="1440" w:hanging="360"/>
      </w:pPr>
      <w:rPr>
        <w:rFonts w:ascii="Symbol" w:hAnsi="Symbol" w:hint="default"/>
      </w:rPr>
    </w:lvl>
    <w:lvl w:ilvl="2" w:tplc="6D7C9674" w:tentative="1">
      <w:start w:val="1"/>
      <w:numFmt w:val="bullet"/>
      <w:lvlText w:val=""/>
      <w:lvlJc w:val="left"/>
      <w:pPr>
        <w:tabs>
          <w:tab w:val="num" w:pos="2160"/>
        </w:tabs>
        <w:ind w:left="2160" w:hanging="360"/>
      </w:pPr>
      <w:rPr>
        <w:rFonts w:ascii="Symbol" w:hAnsi="Symbol" w:hint="default"/>
      </w:rPr>
    </w:lvl>
    <w:lvl w:ilvl="3" w:tplc="6F9E6030" w:tentative="1">
      <w:start w:val="1"/>
      <w:numFmt w:val="bullet"/>
      <w:lvlText w:val=""/>
      <w:lvlJc w:val="left"/>
      <w:pPr>
        <w:tabs>
          <w:tab w:val="num" w:pos="2880"/>
        </w:tabs>
        <w:ind w:left="2880" w:hanging="360"/>
      </w:pPr>
      <w:rPr>
        <w:rFonts w:ascii="Symbol" w:hAnsi="Symbol" w:hint="default"/>
      </w:rPr>
    </w:lvl>
    <w:lvl w:ilvl="4" w:tplc="97368B42" w:tentative="1">
      <w:start w:val="1"/>
      <w:numFmt w:val="bullet"/>
      <w:lvlText w:val=""/>
      <w:lvlJc w:val="left"/>
      <w:pPr>
        <w:tabs>
          <w:tab w:val="num" w:pos="3600"/>
        </w:tabs>
        <w:ind w:left="3600" w:hanging="360"/>
      </w:pPr>
      <w:rPr>
        <w:rFonts w:ascii="Symbol" w:hAnsi="Symbol" w:hint="default"/>
      </w:rPr>
    </w:lvl>
    <w:lvl w:ilvl="5" w:tplc="F4D087B6" w:tentative="1">
      <w:start w:val="1"/>
      <w:numFmt w:val="bullet"/>
      <w:lvlText w:val=""/>
      <w:lvlJc w:val="left"/>
      <w:pPr>
        <w:tabs>
          <w:tab w:val="num" w:pos="4320"/>
        </w:tabs>
        <w:ind w:left="4320" w:hanging="360"/>
      </w:pPr>
      <w:rPr>
        <w:rFonts w:ascii="Symbol" w:hAnsi="Symbol" w:hint="default"/>
      </w:rPr>
    </w:lvl>
    <w:lvl w:ilvl="6" w:tplc="EAF8C7E8" w:tentative="1">
      <w:start w:val="1"/>
      <w:numFmt w:val="bullet"/>
      <w:lvlText w:val=""/>
      <w:lvlJc w:val="left"/>
      <w:pPr>
        <w:tabs>
          <w:tab w:val="num" w:pos="5040"/>
        </w:tabs>
        <w:ind w:left="5040" w:hanging="360"/>
      </w:pPr>
      <w:rPr>
        <w:rFonts w:ascii="Symbol" w:hAnsi="Symbol" w:hint="default"/>
      </w:rPr>
    </w:lvl>
    <w:lvl w:ilvl="7" w:tplc="84066460" w:tentative="1">
      <w:start w:val="1"/>
      <w:numFmt w:val="bullet"/>
      <w:lvlText w:val=""/>
      <w:lvlJc w:val="left"/>
      <w:pPr>
        <w:tabs>
          <w:tab w:val="num" w:pos="5760"/>
        </w:tabs>
        <w:ind w:left="5760" w:hanging="360"/>
      </w:pPr>
      <w:rPr>
        <w:rFonts w:ascii="Symbol" w:hAnsi="Symbol" w:hint="default"/>
      </w:rPr>
    </w:lvl>
    <w:lvl w:ilvl="8" w:tplc="4850AD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7B77314"/>
    <w:multiLevelType w:val="hybridMultilevel"/>
    <w:tmpl w:val="12A22EB8"/>
    <w:lvl w:ilvl="0" w:tplc="CDB0840C">
      <w:start w:val="1"/>
      <w:numFmt w:val="bullet"/>
      <w:lvlText w:val=""/>
      <w:lvlPicBulletId w:val="0"/>
      <w:lvlJc w:val="left"/>
      <w:pPr>
        <w:tabs>
          <w:tab w:val="num" w:pos="643"/>
        </w:tabs>
        <w:ind w:left="643" w:hanging="360"/>
      </w:pPr>
      <w:rPr>
        <w:rFonts w:ascii="Symbol" w:hAnsi="Symbol" w:hint="default"/>
      </w:rPr>
    </w:lvl>
    <w:lvl w:ilvl="1" w:tplc="5A1A11CA" w:tentative="1">
      <w:start w:val="1"/>
      <w:numFmt w:val="bullet"/>
      <w:lvlText w:val=""/>
      <w:lvlJc w:val="left"/>
      <w:pPr>
        <w:tabs>
          <w:tab w:val="num" w:pos="1440"/>
        </w:tabs>
        <w:ind w:left="1440" w:hanging="360"/>
      </w:pPr>
      <w:rPr>
        <w:rFonts w:ascii="Symbol" w:hAnsi="Symbol" w:hint="default"/>
      </w:rPr>
    </w:lvl>
    <w:lvl w:ilvl="2" w:tplc="B0CC204A" w:tentative="1">
      <w:start w:val="1"/>
      <w:numFmt w:val="bullet"/>
      <w:lvlText w:val=""/>
      <w:lvlJc w:val="left"/>
      <w:pPr>
        <w:tabs>
          <w:tab w:val="num" w:pos="2160"/>
        </w:tabs>
        <w:ind w:left="2160" w:hanging="360"/>
      </w:pPr>
      <w:rPr>
        <w:rFonts w:ascii="Symbol" w:hAnsi="Symbol" w:hint="default"/>
      </w:rPr>
    </w:lvl>
    <w:lvl w:ilvl="3" w:tplc="34E80774" w:tentative="1">
      <w:start w:val="1"/>
      <w:numFmt w:val="bullet"/>
      <w:lvlText w:val=""/>
      <w:lvlJc w:val="left"/>
      <w:pPr>
        <w:tabs>
          <w:tab w:val="num" w:pos="2880"/>
        </w:tabs>
        <w:ind w:left="2880" w:hanging="360"/>
      </w:pPr>
      <w:rPr>
        <w:rFonts w:ascii="Symbol" w:hAnsi="Symbol" w:hint="default"/>
      </w:rPr>
    </w:lvl>
    <w:lvl w:ilvl="4" w:tplc="2728A9D8" w:tentative="1">
      <w:start w:val="1"/>
      <w:numFmt w:val="bullet"/>
      <w:lvlText w:val=""/>
      <w:lvlJc w:val="left"/>
      <w:pPr>
        <w:tabs>
          <w:tab w:val="num" w:pos="3600"/>
        </w:tabs>
        <w:ind w:left="3600" w:hanging="360"/>
      </w:pPr>
      <w:rPr>
        <w:rFonts w:ascii="Symbol" w:hAnsi="Symbol" w:hint="default"/>
      </w:rPr>
    </w:lvl>
    <w:lvl w:ilvl="5" w:tplc="3A60DECA" w:tentative="1">
      <w:start w:val="1"/>
      <w:numFmt w:val="bullet"/>
      <w:lvlText w:val=""/>
      <w:lvlJc w:val="left"/>
      <w:pPr>
        <w:tabs>
          <w:tab w:val="num" w:pos="4320"/>
        </w:tabs>
        <w:ind w:left="4320" w:hanging="360"/>
      </w:pPr>
      <w:rPr>
        <w:rFonts w:ascii="Symbol" w:hAnsi="Symbol" w:hint="default"/>
      </w:rPr>
    </w:lvl>
    <w:lvl w:ilvl="6" w:tplc="A336EFA0" w:tentative="1">
      <w:start w:val="1"/>
      <w:numFmt w:val="bullet"/>
      <w:lvlText w:val=""/>
      <w:lvlJc w:val="left"/>
      <w:pPr>
        <w:tabs>
          <w:tab w:val="num" w:pos="5040"/>
        </w:tabs>
        <w:ind w:left="5040" w:hanging="360"/>
      </w:pPr>
      <w:rPr>
        <w:rFonts w:ascii="Symbol" w:hAnsi="Symbol" w:hint="default"/>
      </w:rPr>
    </w:lvl>
    <w:lvl w:ilvl="7" w:tplc="5DD8AE74" w:tentative="1">
      <w:start w:val="1"/>
      <w:numFmt w:val="bullet"/>
      <w:lvlText w:val=""/>
      <w:lvlJc w:val="left"/>
      <w:pPr>
        <w:tabs>
          <w:tab w:val="num" w:pos="5760"/>
        </w:tabs>
        <w:ind w:left="5760" w:hanging="360"/>
      </w:pPr>
      <w:rPr>
        <w:rFonts w:ascii="Symbol" w:hAnsi="Symbol" w:hint="default"/>
      </w:rPr>
    </w:lvl>
    <w:lvl w:ilvl="8" w:tplc="48EC1208" w:tentative="1">
      <w:start w:val="1"/>
      <w:numFmt w:val="bullet"/>
      <w:lvlText w:val=""/>
      <w:lvlJc w:val="left"/>
      <w:pPr>
        <w:tabs>
          <w:tab w:val="num" w:pos="6480"/>
        </w:tabs>
        <w:ind w:left="6480" w:hanging="360"/>
      </w:pPr>
      <w:rPr>
        <w:rFonts w:ascii="Symbol" w:hAnsi="Symbol" w:hint="default"/>
      </w:rPr>
    </w:lvl>
  </w:abstractNum>
  <w:num w:numId="1" w16cid:durableId="1771703338">
    <w:abstractNumId w:val="4"/>
  </w:num>
  <w:num w:numId="2" w16cid:durableId="1086000592">
    <w:abstractNumId w:val="2"/>
  </w:num>
  <w:num w:numId="3" w16cid:durableId="1617559611">
    <w:abstractNumId w:val="5"/>
  </w:num>
  <w:num w:numId="4" w16cid:durableId="1135876406">
    <w:abstractNumId w:val="0"/>
  </w:num>
  <w:num w:numId="5" w16cid:durableId="284234699">
    <w:abstractNumId w:val="7"/>
  </w:num>
  <w:num w:numId="6" w16cid:durableId="51082464">
    <w:abstractNumId w:val="8"/>
  </w:num>
  <w:num w:numId="7" w16cid:durableId="1547646039">
    <w:abstractNumId w:val="6"/>
  </w:num>
  <w:num w:numId="8" w16cid:durableId="836462970">
    <w:abstractNumId w:val="1"/>
  </w:num>
  <w:num w:numId="9" w16cid:durableId="910428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4"/>
    <w:rsid w:val="000513DF"/>
    <w:rsid w:val="000A2266"/>
    <w:rsid w:val="000B4AF8"/>
    <w:rsid w:val="000F234F"/>
    <w:rsid w:val="00171C44"/>
    <w:rsid w:val="001B77DB"/>
    <w:rsid w:val="003A200A"/>
    <w:rsid w:val="004015E9"/>
    <w:rsid w:val="005475D0"/>
    <w:rsid w:val="0067280F"/>
    <w:rsid w:val="006A58FE"/>
    <w:rsid w:val="006D490B"/>
    <w:rsid w:val="00751444"/>
    <w:rsid w:val="007630DC"/>
    <w:rsid w:val="007A7BB2"/>
    <w:rsid w:val="007C3ACF"/>
    <w:rsid w:val="009B4FEC"/>
    <w:rsid w:val="009B6E84"/>
    <w:rsid w:val="009C23C2"/>
    <w:rsid w:val="009D2E85"/>
    <w:rsid w:val="00A11016"/>
    <w:rsid w:val="00A27771"/>
    <w:rsid w:val="00BB437B"/>
    <w:rsid w:val="00BB7E3E"/>
    <w:rsid w:val="00C10296"/>
    <w:rsid w:val="00C153D7"/>
    <w:rsid w:val="00C50105"/>
    <w:rsid w:val="00EE57EE"/>
    <w:rsid w:val="00FF3D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4225"/>
  <w15:docId w15:val="{E4C550B8-6123-4EA2-A46E-26A99DC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71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71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71C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71C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71C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71C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1C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1C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1C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1C4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71C4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71C4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71C4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71C4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71C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1C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1C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1C44"/>
    <w:rPr>
      <w:rFonts w:eastAsiaTheme="majorEastAsia" w:cstheme="majorBidi"/>
      <w:color w:val="272727" w:themeColor="text1" w:themeTint="D8"/>
    </w:rPr>
  </w:style>
  <w:style w:type="paragraph" w:styleId="a3">
    <w:name w:val="Title"/>
    <w:basedOn w:val="a"/>
    <w:next w:val="a"/>
    <w:link w:val="Char"/>
    <w:uiPriority w:val="10"/>
    <w:qFormat/>
    <w:rsid w:val="00171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71C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1C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71C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1C44"/>
    <w:pPr>
      <w:spacing w:before="160"/>
      <w:jc w:val="center"/>
    </w:pPr>
    <w:rPr>
      <w:i/>
      <w:iCs/>
      <w:color w:val="404040" w:themeColor="text1" w:themeTint="BF"/>
    </w:rPr>
  </w:style>
  <w:style w:type="character" w:customStyle="1" w:styleId="Char1">
    <w:name w:val="Απόσπασμα Char"/>
    <w:basedOn w:val="a0"/>
    <w:link w:val="a5"/>
    <w:uiPriority w:val="29"/>
    <w:rsid w:val="00171C44"/>
    <w:rPr>
      <w:i/>
      <w:iCs/>
      <w:color w:val="404040" w:themeColor="text1" w:themeTint="BF"/>
    </w:rPr>
  </w:style>
  <w:style w:type="paragraph" w:styleId="a6">
    <w:name w:val="List Paragraph"/>
    <w:basedOn w:val="a"/>
    <w:uiPriority w:val="34"/>
    <w:qFormat/>
    <w:rsid w:val="00171C44"/>
    <w:pPr>
      <w:ind w:left="720"/>
      <w:contextualSpacing/>
    </w:pPr>
  </w:style>
  <w:style w:type="character" w:styleId="a7">
    <w:name w:val="Intense Emphasis"/>
    <w:basedOn w:val="a0"/>
    <w:uiPriority w:val="21"/>
    <w:qFormat/>
    <w:rsid w:val="00171C44"/>
    <w:rPr>
      <w:i/>
      <w:iCs/>
      <w:color w:val="2F5496" w:themeColor="accent1" w:themeShade="BF"/>
    </w:rPr>
  </w:style>
  <w:style w:type="paragraph" w:styleId="a8">
    <w:name w:val="Intense Quote"/>
    <w:basedOn w:val="a"/>
    <w:next w:val="a"/>
    <w:link w:val="Char2"/>
    <w:uiPriority w:val="30"/>
    <w:qFormat/>
    <w:rsid w:val="00171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71C44"/>
    <w:rPr>
      <w:i/>
      <w:iCs/>
      <w:color w:val="2F5496" w:themeColor="accent1" w:themeShade="BF"/>
    </w:rPr>
  </w:style>
  <w:style w:type="character" w:styleId="a9">
    <w:name w:val="Intense Reference"/>
    <w:basedOn w:val="a0"/>
    <w:uiPriority w:val="32"/>
    <w:qFormat/>
    <w:rsid w:val="00171C44"/>
    <w:rPr>
      <w:b/>
      <w:bCs/>
      <w:smallCaps/>
      <w:color w:val="2F5496" w:themeColor="accent1" w:themeShade="BF"/>
      <w:spacing w:val="5"/>
    </w:rPr>
  </w:style>
  <w:style w:type="character" w:styleId="-">
    <w:name w:val="Hyperlink"/>
    <w:basedOn w:val="a0"/>
    <w:uiPriority w:val="99"/>
    <w:unhideWhenUsed/>
    <w:rsid w:val="00C153D7"/>
    <w:rPr>
      <w:color w:val="0563C1" w:themeColor="hyperlink"/>
      <w:u w:val="single"/>
    </w:rPr>
  </w:style>
  <w:style w:type="character" w:customStyle="1" w:styleId="10">
    <w:name w:val="Ανεπίλυτη αναφορά1"/>
    <w:basedOn w:val="a0"/>
    <w:uiPriority w:val="99"/>
    <w:semiHidden/>
    <w:unhideWhenUsed/>
    <w:rsid w:val="00C153D7"/>
    <w:rPr>
      <w:color w:val="605E5C"/>
      <w:shd w:val="clear" w:color="auto" w:fill="E1DFDD"/>
    </w:rPr>
  </w:style>
  <w:style w:type="paragraph" w:styleId="aa">
    <w:name w:val="Balloon Text"/>
    <w:basedOn w:val="a"/>
    <w:link w:val="Char3"/>
    <w:uiPriority w:val="99"/>
    <w:semiHidden/>
    <w:unhideWhenUsed/>
    <w:rsid w:val="000F234F"/>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F2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3232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ARGYRO MAVROULI</dc:creator>
  <cp:lastModifiedBy>Ioannis S</cp:lastModifiedBy>
  <cp:revision>3</cp:revision>
  <cp:lastPrinted>2025-10-15T09:10:00Z</cp:lastPrinted>
  <dcterms:created xsi:type="dcterms:W3CDTF">2025-12-03T12:31:00Z</dcterms:created>
  <dcterms:modified xsi:type="dcterms:W3CDTF">2025-12-03T12:35:00Z</dcterms:modified>
</cp:coreProperties>
</file>